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67" w:rsidRDefault="00794667" w:rsidP="00794667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  <w:bookmarkStart w:id="0" w:name="_GoBack"/>
      <w:bookmarkEnd w:id="0"/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BD7CE8">
        <w:rPr>
          <w:bCs/>
          <w:noProof/>
          <w:sz w:val="28"/>
          <w:szCs w:val="28"/>
        </w:rPr>
        <w:t>__________</w:t>
      </w:r>
      <w:r w:rsidRPr="00FA7770">
        <w:rPr>
          <w:bCs/>
          <w:noProof/>
          <w:sz w:val="28"/>
          <w:szCs w:val="28"/>
        </w:rPr>
        <w:t xml:space="preserve"> № </w:t>
      </w:r>
      <w:r w:rsidR="00BD7CE8">
        <w:rPr>
          <w:bCs/>
          <w:noProof/>
          <w:sz w:val="28"/>
          <w:szCs w:val="28"/>
        </w:rPr>
        <w:t>_____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</w:t>
      </w:r>
      <w:r w:rsidR="00DF4A1D">
        <w:rPr>
          <w:sz w:val="28"/>
          <w:szCs w:val="28"/>
        </w:rPr>
        <w:t>я</w:t>
      </w:r>
      <w:r w:rsidR="004D053B" w:rsidRPr="004D053B"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 w:rsidR="004D053B" w:rsidRPr="004D053B">
        <w:rPr>
          <w:sz w:val="28"/>
          <w:szCs w:val="28"/>
        </w:rPr>
        <w:t xml:space="preserve">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</w:t>
      </w:r>
      <w:r w:rsidR="00DF4A1D">
        <w:rPr>
          <w:sz w:val="28"/>
          <w:szCs w:val="28"/>
        </w:rPr>
        <w:t>ям</w:t>
      </w:r>
      <w:r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>
        <w:rPr>
          <w:sz w:val="28"/>
          <w:szCs w:val="28"/>
        </w:rPr>
        <w:t xml:space="preserve">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2923E9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2923E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BD7CE8" w:rsidP="00BD7CE8">
      <w:pPr>
        <w:jc w:val="right"/>
      </w:pPr>
      <w:r>
        <w:t>От ________</w:t>
      </w:r>
      <w:r w:rsidR="00975B18" w:rsidRPr="00975B18">
        <w:t xml:space="preserve"> № </w:t>
      </w:r>
      <w:r>
        <w:t>____</w:t>
      </w:r>
      <w:r w:rsidR="00975B18"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B285D">
              <w:rPr>
                <w:sz w:val="28"/>
                <w:szCs w:val="28"/>
              </w:rPr>
              <w:t>6</w:t>
            </w:r>
            <w:r w:rsidR="00073964">
              <w:rPr>
                <w:sz w:val="28"/>
                <w:szCs w:val="28"/>
              </w:rPr>
              <w:t>923</w:t>
            </w:r>
            <w:r>
              <w:rPr>
                <w:sz w:val="28"/>
                <w:szCs w:val="28"/>
              </w:rPr>
              <w:t>,</w:t>
            </w:r>
            <w:r w:rsidR="00073964">
              <w:rPr>
                <w:sz w:val="28"/>
                <w:szCs w:val="28"/>
              </w:rPr>
              <w:t>09071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073964" w:rsidRPr="00073964">
              <w:rPr>
                <w:sz w:val="28"/>
                <w:szCs w:val="28"/>
              </w:rPr>
              <w:t>53585,20301</w:t>
            </w:r>
            <w:r w:rsidR="00FB285D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073964">
              <w:rPr>
                <w:sz w:val="28"/>
                <w:szCs w:val="28"/>
              </w:rPr>
              <w:t>585,20301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073964">
              <w:rPr>
                <w:sz w:val="28"/>
                <w:szCs w:val="28"/>
              </w:rPr>
              <w:t>575,74000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073964" w:rsidP="00DC41C1">
            <w:pPr>
              <w:jc w:val="center"/>
              <w:rPr>
                <w:sz w:val="28"/>
                <w:szCs w:val="28"/>
              </w:rPr>
            </w:pPr>
            <w:r w:rsidRPr="00073964">
              <w:rPr>
                <w:sz w:val="28"/>
                <w:szCs w:val="28"/>
              </w:rPr>
              <w:t>400,23800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5634,20000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AD0C89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1958,75010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0B141D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32614,78883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1182,84679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784,91628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57F5A" w:rsidP="00DC41C1">
            <w:pPr>
              <w:jc w:val="center"/>
              <w:rPr>
                <w:sz w:val="28"/>
              </w:rPr>
            </w:pPr>
            <w:r w:rsidRPr="00C57F5A">
              <w:rPr>
                <w:sz w:val="28"/>
              </w:rPr>
              <w:t>13,40000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8C530D" w:rsidP="00163BCB">
            <w:pPr>
              <w:jc w:val="center"/>
              <w:rPr>
                <w:sz w:val="28"/>
                <w:szCs w:val="28"/>
              </w:rPr>
            </w:pPr>
            <w:r w:rsidRPr="008C530D">
              <w:rPr>
                <w:sz w:val="28"/>
                <w:szCs w:val="28"/>
              </w:rPr>
              <w:t>13,40000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5F4710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4072,11480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5F4710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4072,11480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6923,94821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2040,13631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4025,81416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73964" w:rsidP="00DC41C1">
            <w:pPr>
              <w:jc w:val="center"/>
              <w:rPr>
                <w:sz w:val="28"/>
              </w:rPr>
            </w:pPr>
            <w:r w:rsidRPr="00073964">
              <w:rPr>
                <w:sz w:val="28"/>
              </w:rPr>
              <w:t>857,99774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073964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073964" w:rsidRPr="0094338B" w:rsidRDefault="0007396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073964" w:rsidRPr="0094338B" w:rsidRDefault="0007396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073964" w:rsidRPr="007E0B16" w:rsidRDefault="0007396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073964" w:rsidRPr="00C32447" w:rsidRDefault="0007396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73964" w:rsidRPr="005047B3" w:rsidRDefault="00073964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073964" w:rsidRPr="00073964" w:rsidRDefault="00073964" w:rsidP="00073964">
            <w:pPr>
              <w:jc w:val="center"/>
              <w:rPr>
                <w:sz w:val="28"/>
                <w:szCs w:val="28"/>
              </w:rPr>
            </w:pPr>
            <w:r w:rsidRPr="00073964">
              <w:rPr>
                <w:sz w:val="28"/>
                <w:szCs w:val="28"/>
              </w:rPr>
              <w:t>42575,74000</w:t>
            </w:r>
          </w:p>
        </w:tc>
        <w:tc>
          <w:tcPr>
            <w:tcW w:w="992" w:type="dxa"/>
            <w:shd w:val="clear" w:color="auto" w:fill="auto"/>
          </w:tcPr>
          <w:p w:rsidR="00073964" w:rsidRPr="00242333" w:rsidRDefault="0007396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073964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073964" w:rsidRPr="0094338B" w:rsidRDefault="0007396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073964" w:rsidRPr="00D64000" w:rsidRDefault="00073964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073964" w:rsidRPr="00547620" w:rsidRDefault="00073964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073964" w:rsidRDefault="00073964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73964" w:rsidRPr="007A0E8E" w:rsidRDefault="00073964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73964" w:rsidRPr="00073964" w:rsidRDefault="00073964" w:rsidP="00073964">
            <w:pPr>
              <w:jc w:val="center"/>
              <w:rPr>
                <w:sz w:val="28"/>
                <w:szCs w:val="28"/>
              </w:rPr>
            </w:pPr>
            <w:r w:rsidRPr="00073964">
              <w:rPr>
                <w:sz w:val="28"/>
                <w:szCs w:val="28"/>
              </w:rPr>
              <w:t>400,23800</w:t>
            </w:r>
          </w:p>
        </w:tc>
        <w:tc>
          <w:tcPr>
            <w:tcW w:w="992" w:type="dxa"/>
            <w:shd w:val="clear" w:color="auto" w:fill="auto"/>
          </w:tcPr>
          <w:p w:rsidR="00073964" w:rsidRPr="00242333" w:rsidRDefault="00073964" w:rsidP="005047B3">
            <w:pPr>
              <w:rPr>
                <w:sz w:val="28"/>
                <w:szCs w:val="28"/>
              </w:rPr>
            </w:pPr>
          </w:p>
        </w:tc>
      </w:tr>
      <w:tr w:rsidR="00073964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073964" w:rsidRPr="0094338B" w:rsidRDefault="00073964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073964" w:rsidRPr="0094338B" w:rsidRDefault="0007396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073964" w:rsidRPr="0094338B" w:rsidRDefault="00073964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073964" w:rsidRPr="00C32447" w:rsidRDefault="0007396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73964" w:rsidRPr="007A0E8E" w:rsidRDefault="00073964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073964" w:rsidRPr="00073964" w:rsidRDefault="00073964" w:rsidP="00073964">
            <w:pPr>
              <w:jc w:val="center"/>
              <w:rPr>
                <w:sz w:val="28"/>
                <w:szCs w:val="28"/>
              </w:rPr>
            </w:pPr>
            <w:r w:rsidRPr="00073964">
              <w:rPr>
                <w:sz w:val="28"/>
                <w:szCs w:val="28"/>
              </w:rPr>
              <w:t>5634,20000</w:t>
            </w:r>
          </w:p>
        </w:tc>
        <w:tc>
          <w:tcPr>
            <w:tcW w:w="992" w:type="dxa"/>
            <w:shd w:val="clear" w:color="auto" w:fill="auto"/>
          </w:tcPr>
          <w:p w:rsidR="00073964" w:rsidRPr="00242333" w:rsidRDefault="0007396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07396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73964" w:rsidRPr="0094338B" w:rsidRDefault="00073964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073964" w:rsidRPr="0094338B" w:rsidRDefault="0007396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073964" w:rsidRPr="00F72ADC" w:rsidRDefault="0007396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073964" w:rsidRPr="00F72ADC" w:rsidRDefault="0007396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73964" w:rsidRPr="007A0E8E" w:rsidRDefault="00073964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073964" w:rsidRPr="00073964" w:rsidRDefault="00073964" w:rsidP="00073964">
            <w:pPr>
              <w:jc w:val="center"/>
              <w:rPr>
                <w:sz w:val="28"/>
                <w:szCs w:val="28"/>
              </w:rPr>
            </w:pPr>
            <w:r w:rsidRPr="00073964">
              <w:rPr>
                <w:sz w:val="28"/>
                <w:szCs w:val="28"/>
              </w:rPr>
              <w:t>1958,75010</w:t>
            </w:r>
          </w:p>
        </w:tc>
        <w:tc>
          <w:tcPr>
            <w:tcW w:w="992" w:type="dxa"/>
            <w:shd w:val="clear" w:color="auto" w:fill="auto"/>
          </w:tcPr>
          <w:p w:rsidR="00073964" w:rsidRPr="00242333" w:rsidRDefault="0007396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1404C2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1404C2" w:rsidRPr="0094338B" w:rsidRDefault="001404C2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1404C2" w:rsidRPr="0094338B" w:rsidRDefault="001404C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1404C2" w:rsidRPr="0094338B" w:rsidRDefault="001404C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404C2" w:rsidRPr="007A0E8E" w:rsidRDefault="001404C2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9E6DDF" w:rsidP="00073964">
            <w:pPr>
              <w:jc w:val="center"/>
              <w:rPr>
                <w:sz w:val="28"/>
              </w:rPr>
            </w:pPr>
            <w:r w:rsidRPr="009E6DDF">
              <w:rPr>
                <w:sz w:val="28"/>
              </w:rPr>
              <w:t>32614,78883</w:t>
            </w:r>
          </w:p>
        </w:tc>
        <w:tc>
          <w:tcPr>
            <w:tcW w:w="992" w:type="dxa"/>
            <w:shd w:val="clear" w:color="auto" w:fill="auto"/>
          </w:tcPr>
          <w:p w:rsidR="001404C2" w:rsidRPr="00242333" w:rsidRDefault="001404C2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9E6DD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E6DDF" w:rsidRPr="0094338B" w:rsidRDefault="009E6DD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9E6DDF" w:rsidRPr="0094338B" w:rsidRDefault="009E6DD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9E6DDF" w:rsidRPr="0094338B" w:rsidRDefault="009E6DD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9E6DDF" w:rsidRPr="0094338B" w:rsidRDefault="009E6DD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E6DDF" w:rsidRPr="007A0E8E" w:rsidRDefault="009E6DD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9E6DDF" w:rsidRPr="009E6DDF" w:rsidRDefault="009E6DDF" w:rsidP="009E6DDF">
            <w:pPr>
              <w:jc w:val="center"/>
              <w:rPr>
                <w:sz w:val="28"/>
                <w:szCs w:val="28"/>
              </w:rPr>
            </w:pPr>
            <w:r w:rsidRPr="009E6DDF">
              <w:rPr>
                <w:sz w:val="28"/>
                <w:szCs w:val="28"/>
              </w:rPr>
              <w:t>1182,84679</w:t>
            </w:r>
          </w:p>
        </w:tc>
        <w:tc>
          <w:tcPr>
            <w:tcW w:w="992" w:type="dxa"/>
            <w:shd w:val="clear" w:color="auto" w:fill="auto"/>
          </w:tcPr>
          <w:p w:rsidR="009E6DDF" w:rsidRPr="00242333" w:rsidRDefault="009E6DD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9E6DD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E6DDF" w:rsidRPr="0094338B" w:rsidRDefault="009E6DD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9E6DDF" w:rsidRPr="0094338B" w:rsidRDefault="009E6DDF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9E6DDF" w:rsidRPr="0094338B" w:rsidRDefault="009E6DDF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9E6DDF" w:rsidRPr="0094338B" w:rsidRDefault="009E6DD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E6DDF" w:rsidRPr="005047B3" w:rsidRDefault="009E6DDF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9E6DDF" w:rsidRPr="009E6DDF" w:rsidRDefault="009E6DDF" w:rsidP="009E6DDF">
            <w:pPr>
              <w:jc w:val="center"/>
              <w:rPr>
                <w:sz w:val="28"/>
                <w:szCs w:val="28"/>
              </w:rPr>
            </w:pPr>
            <w:r w:rsidRPr="009E6DDF">
              <w:rPr>
                <w:sz w:val="28"/>
                <w:szCs w:val="28"/>
              </w:rPr>
              <w:t>784,91628</w:t>
            </w:r>
          </w:p>
        </w:tc>
        <w:tc>
          <w:tcPr>
            <w:tcW w:w="992" w:type="dxa"/>
            <w:shd w:val="clear" w:color="auto" w:fill="auto"/>
          </w:tcPr>
          <w:p w:rsidR="009E6DDF" w:rsidRPr="00242333" w:rsidRDefault="009E6DD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>нт 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9E6DDF" w:rsidP="006104FA">
            <w:pPr>
              <w:jc w:val="center"/>
              <w:rPr>
                <w:sz w:val="28"/>
              </w:rPr>
            </w:pPr>
            <w:r w:rsidRPr="009E6DDF">
              <w:rPr>
                <w:sz w:val="28"/>
              </w:rPr>
              <w:t>4072,11480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032FE7" w:rsidRDefault="00032FE7" w:rsidP="00032FE7">
      <w:pPr>
        <w:jc w:val="right"/>
      </w:pPr>
      <w:r>
        <w:t>Приложение № 2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4A470E" w:rsidP="00032FE7">
      <w:pPr>
        <w:jc w:val="right"/>
      </w:pPr>
      <w:r w:rsidRPr="004A470E">
        <w:t xml:space="preserve">от </w:t>
      </w:r>
      <w:r w:rsidR="00BD7CE8">
        <w:t>__________</w:t>
      </w:r>
      <w:r w:rsidRPr="004A470E">
        <w:t xml:space="preserve"> № </w:t>
      </w:r>
      <w:r w:rsidR="00BD7CE8">
        <w:t>____</w:t>
      </w:r>
      <w:r w:rsidRPr="004A470E"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Default="00032FE7" w:rsidP="00032FE7">
      <w:pPr>
        <w:jc w:val="right"/>
      </w:pPr>
      <w:r>
        <w:t>период 2016 и 2017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981988" w:rsidRPr="006B1C72" w:rsidRDefault="00EF7BC9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798,46875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="00EF7BC9" w:rsidRPr="00EF7BC9">
              <w:rPr>
                <w:sz w:val="28"/>
                <w:szCs w:val="28"/>
              </w:rPr>
              <w:t>103,60915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1988" w:rsidRPr="009F14DB" w:rsidRDefault="00981988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103,60915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56,82051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267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46,78864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409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C11CD5" w:rsidRDefault="00C11CD5" w:rsidP="00981988">
      <w:pPr>
        <w:tabs>
          <w:tab w:val="left" w:pos="7830"/>
        </w:tabs>
        <w:jc w:val="center"/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981988" w:rsidRPr="00547620" w:rsidRDefault="00E9014F" w:rsidP="00B261D0">
            <w:pPr>
              <w:jc w:val="center"/>
              <w:rPr>
                <w:sz w:val="28"/>
                <w:szCs w:val="28"/>
              </w:rPr>
            </w:pPr>
            <w:r w:rsidRPr="00E9014F">
              <w:rPr>
                <w:sz w:val="28"/>
                <w:szCs w:val="28"/>
              </w:rPr>
              <w:t>56,82051</w:t>
            </w:r>
          </w:p>
        </w:tc>
        <w:tc>
          <w:tcPr>
            <w:tcW w:w="850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1B0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40,00000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6,78864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402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C11CD5" w:rsidP="00C11CD5">
      <w:pPr>
        <w:rPr>
          <w:sz w:val="28"/>
          <w:szCs w:val="28"/>
        </w:rPr>
        <w:sectPr w:rsidR="00981988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/>
    <w:p w:rsidR="00032FE7" w:rsidRDefault="00032FE7" w:rsidP="00032FE7">
      <w:pPr>
        <w:jc w:val="right"/>
      </w:pPr>
      <w:r>
        <w:t>Приложение № 3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4A470E" w:rsidP="00032FE7">
      <w:pPr>
        <w:jc w:val="right"/>
      </w:pPr>
      <w:r w:rsidRPr="004A470E">
        <w:t xml:space="preserve">от </w:t>
      </w:r>
      <w:r w:rsidR="00BD7CE8">
        <w:t>____________</w:t>
      </w:r>
      <w:r w:rsidRPr="004A470E">
        <w:t xml:space="preserve"> № </w:t>
      </w:r>
      <w:r w:rsidR="00BD7CE8">
        <w:t>____</w:t>
      </w:r>
      <w:r w:rsidRPr="004A470E"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Pr="00975B18" w:rsidRDefault="00032FE7" w:rsidP="00032FE7">
      <w:pPr>
        <w:jc w:val="right"/>
      </w:pPr>
      <w:r>
        <w:t>период 2016 и 2017 годов»»</w:t>
      </w:r>
    </w:p>
    <w:p w:rsidR="00981988" w:rsidRPr="00975B18" w:rsidRDefault="00981988" w:rsidP="00981988">
      <w:pPr>
        <w:jc w:val="right"/>
      </w:pPr>
    </w:p>
    <w:p w:rsidR="00981988" w:rsidRPr="00975B1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Pr="00975B18" w:rsidRDefault="00981988" w:rsidP="00981988"/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rPr>
          <w:sz w:val="40"/>
          <w:szCs w:val="40"/>
        </w:rPr>
      </w:pPr>
    </w:p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981988" w:rsidRPr="00B23113" w:rsidRDefault="00981988" w:rsidP="00981988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981988" w:rsidRPr="00B23113" w:rsidRDefault="00981988" w:rsidP="00981988">
      <w:pPr>
        <w:jc w:val="center"/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/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  <w:r w:rsidRPr="00B23113">
        <w:t>пгт Тяжинский – 201</w:t>
      </w:r>
      <w:r>
        <w:t>4</w:t>
      </w:r>
    </w:p>
    <w:p w:rsidR="00981988" w:rsidRDefault="00981988" w:rsidP="00981988">
      <w:pPr>
        <w:jc w:val="center"/>
      </w:pPr>
    </w:p>
    <w:p w:rsidR="00981988" w:rsidRPr="00B23113" w:rsidRDefault="00981988" w:rsidP="00981988"/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981988" w:rsidRPr="00C7797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</w:t>
            </w:r>
            <w:r w:rsidR="00BB56A3">
              <w:rPr>
                <w:sz w:val="28"/>
                <w:szCs w:val="28"/>
              </w:rPr>
              <w:t>20628</w:t>
            </w:r>
            <w:r w:rsidRPr="009B3DF7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B56A3" w:rsidRPr="00BB56A3">
              <w:rPr>
                <w:sz w:val="28"/>
                <w:szCs w:val="28"/>
              </w:rPr>
              <w:t>5,11323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1988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Default="00981988" w:rsidP="00981988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981988" w:rsidRPr="00B23CF8" w:rsidRDefault="00981988" w:rsidP="00981988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981988" w:rsidRPr="009A3978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981988" w:rsidRPr="00B23CF8" w:rsidRDefault="00981988" w:rsidP="00981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981988" w:rsidRPr="00DA3880" w:rsidRDefault="00981988" w:rsidP="00981988">
      <w:pPr>
        <w:ind w:firstLine="70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981988" w:rsidRPr="00955843" w:rsidRDefault="00981988" w:rsidP="00981988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98198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981988" w:rsidRPr="00B23CF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981988" w:rsidRPr="00B23CF8" w:rsidRDefault="00981988" w:rsidP="00981988">
      <w:pPr>
        <w:pStyle w:val="a7"/>
        <w:ind w:left="142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981988" w:rsidRPr="003F0E37" w:rsidRDefault="00981988" w:rsidP="009819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Default="00981988" w:rsidP="00981988">
      <w:pPr>
        <w:ind w:firstLine="708"/>
        <w:rPr>
          <w:b/>
          <w:color w:val="FF0000"/>
          <w:sz w:val="28"/>
          <w:szCs w:val="28"/>
        </w:rPr>
      </w:pPr>
    </w:p>
    <w:p w:rsidR="00C11CD5" w:rsidRPr="00C11CD5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  <w:r>
        <w:rPr>
          <w:b/>
          <w:sz w:val="28"/>
          <w:szCs w:val="28"/>
        </w:rPr>
        <w:t xml:space="preserve"> </w:t>
      </w: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C11CD5" w:rsidRDefault="00C11CD5" w:rsidP="00C11CD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1134"/>
        <w:gridCol w:w="850"/>
        <w:gridCol w:w="992"/>
      </w:tblGrid>
      <w:tr w:rsidR="00C11CD5" w:rsidRPr="005F1E79" w:rsidTr="00C11CD5">
        <w:trPr>
          <w:trHeight w:val="676"/>
        </w:trPr>
        <w:tc>
          <w:tcPr>
            <w:tcW w:w="675" w:type="dxa"/>
            <w:vMerge w:val="restart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C11CD5" w:rsidRPr="005F1E79" w:rsidTr="00C11CD5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C11CD5" w:rsidRPr="005F1E79" w:rsidRDefault="00C11CD5" w:rsidP="00C57F5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D52D84" w:rsidRDefault="00C11CD5" w:rsidP="00C57F5A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11CD5" w:rsidRDefault="00C11CD5" w:rsidP="00C57F5A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DE47E9" w:rsidRDefault="00C11CD5" w:rsidP="00C57F5A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C57F5A">
            <w:pPr>
              <w:jc w:val="center"/>
              <w:rPr>
                <w:sz w:val="28"/>
              </w:rPr>
            </w:pPr>
            <w:r w:rsidRPr="00FD285C">
              <w:rPr>
                <w:sz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DE47E9" w:rsidRDefault="00C11CD5" w:rsidP="00C57F5A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1843" w:type="dxa"/>
            <w:shd w:val="clear" w:color="auto" w:fill="auto"/>
          </w:tcPr>
          <w:p w:rsidR="00C11CD5" w:rsidRPr="00ED1059" w:rsidRDefault="00C11CD5" w:rsidP="00C57F5A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ED1059" w:rsidRDefault="00C11CD5" w:rsidP="00C57F5A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C57F5A">
            <w:pPr>
              <w:jc w:val="center"/>
              <w:rPr>
                <w:sz w:val="28"/>
                <w:szCs w:val="28"/>
              </w:rPr>
            </w:pPr>
            <w:r w:rsidRPr="00FD285C">
              <w:rPr>
                <w:sz w:val="28"/>
                <w:szCs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2919F2" w:rsidRDefault="00C11CD5" w:rsidP="00C5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C57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C11CD5" w:rsidRPr="002919F2" w:rsidRDefault="00C11CD5" w:rsidP="00C57F5A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C11CD5" w:rsidRPr="00B52023" w:rsidRDefault="00C11CD5" w:rsidP="00C57F5A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Default="00C11CD5" w:rsidP="00C57F5A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C57F5A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1CD5" w:rsidRDefault="00C11CD5" w:rsidP="00C57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Pr="00C11CD5" w:rsidRDefault="00981988" w:rsidP="00C11CD5">
      <w:pPr>
        <w:sectPr w:rsidR="00981988" w:rsidRPr="00C11CD5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981988" w:rsidRPr="00C709E5" w:rsidRDefault="00981988" w:rsidP="00C11CD5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981988" w:rsidRPr="00C709E5" w:rsidRDefault="00981988" w:rsidP="00981988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562"/>
        <w:gridCol w:w="3969"/>
        <w:gridCol w:w="1275"/>
        <w:gridCol w:w="993"/>
        <w:gridCol w:w="850"/>
        <w:gridCol w:w="850"/>
      </w:tblGrid>
      <w:tr w:rsidR="00981988" w:rsidRPr="00C709E5" w:rsidTr="00C11CD5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C709E5" w:rsidTr="00C11CD5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C709E5" w:rsidTr="00C11CD5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6562" w:type="dxa"/>
            <w:shd w:val="clear" w:color="auto" w:fill="auto"/>
          </w:tcPr>
          <w:p w:rsidR="00981988" w:rsidRPr="00C709E5" w:rsidRDefault="00981988" w:rsidP="00B261D0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/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/>
        </w:tc>
        <w:tc>
          <w:tcPr>
            <w:tcW w:w="993" w:type="dxa"/>
            <w:shd w:val="clear" w:color="auto" w:fill="auto"/>
          </w:tcPr>
          <w:p w:rsidR="00981988" w:rsidRPr="00A70FE5" w:rsidRDefault="00981988" w:rsidP="00B261D0"/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194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6562" w:type="dxa"/>
            <w:shd w:val="clear" w:color="auto" w:fill="auto"/>
          </w:tcPr>
          <w:p w:rsidR="00981988" w:rsidRPr="00E1118B" w:rsidRDefault="00981988" w:rsidP="00B261D0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3613C4" w:rsidP="00B261D0">
            <w:pPr>
              <w:jc w:val="center"/>
              <w:rPr>
                <w:sz w:val="28"/>
                <w:szCs w:val="28"/>
              </w:rPr>
            </w:pPr>
            <w:r w:rsidRPr="003613C4">
              <w:rPr>
                <w:sz w:val="28"/>
                <w:szCs w:val="28"/>
              </w:rPr>
              <w:t>5,11323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708"/>
        </w:trPr>
        <w:tc>
          <w:tcPr>
            <w:tcW w:w="776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6562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>
              <w:rPr>
                <w:sz w:val="28"/>
                <w:szCs w:val="28"/>
              </w:rPr>
              <w:t>ижения</w:t>
            </w:r>
          </w:p>
        </w:tc>
        <w:tc>
          <w:tcPr>
            <w:tcW w:w="3969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275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/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D500B6" w:rsidRDefault="00D500B6" w:rsidP="00D500B6"/>
    <w:sectPr w:rsidR="00D500B6" w:rsidSect="00FD285C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3964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04C2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23E9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0116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35D15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94667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530D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6DD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D7CE8"/>
    <w:rsid w:val="00BE588A"/>
    <w:rsid w:val="00BE6DB5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57F5A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14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EF7BC9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285D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4771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9FDE7-1205-4527-9AA5-FBEADDF9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2F24-9BB9-491A-93BE-306F6901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4961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4</cp:revision>
  <cp:lastPrinted>2017-01-10T03:19:00Z</cp:lastPrinted>
  <dcterms:created xsi:type="dcterms:W3CDTF">2017-01-10T03:20:00Z</dcterms:created>
  <dcterms:modified xsi:type="dcterms:W3CDTF">2017-01-12T03:53:00Z</dcterms:modified>
</cp:coreProperties>
</file>