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4A470E">
        <w:rPr>
          <w:bCs/>
          <w:noProof/>
          <w:sz w:val="28"/>
          <w:szCs w:val="28"/>
        </w:rPr>
        <w:t xml:space="preserve">28.10.2016 </w:t>
      </w:r>
      <w:r w:rsidRPr="00FA7770">
        <w:rPr>
          <w:bCs/>
          <w:noProof/>
          <w:sz w:val="28"/>
          <w:szCs w:val="28"/>
        </w:rPr>
        <w:t xml:space="preserve">г. № </w:t>
      </w:r>
      <w:r w:rsidR="004A470E">
        <w:rPr>
          <w:bCs/>
          <w:noProof/>
          <w:sz w:val="28"/>
          <w:szCs w:val="28"/>
        </w:rPr>
        <w:t>41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</w:t>
      </w:r>
      <w:r w:rsidR="00DF4A1D">
        <w:rPr>
          <w:sz w:val="28"/>
          <w:szCs w:val="28"/>
        </w:rPr>
        <w:t>я</w:t>
      </w:r>
      <w:r w:rsidR="004D053B" w:rsidRPr="004D053B">
        <w:rPr>
          <w:sz w:val="28"/>
          <w:szCs w:val="28"/>
        </w:rPr>
        <w:t xml:space="preserve"> № 1</w:t>
      </w:r>
      <w:r w:rsidR="00DF4A1D">
        <w:rPr>
          <w:sz w:val="28"/>
          <w:szCs w:val="28"/>
        </w:rPr>
        <w:t>, 2, 3</w:t>
      </w:r>
      <w:r w:rsidR="004D053B" w:rsidRPr="004D053B">
        <w:rPr>
          <w:sz w:val="28"/>
          <w:szCs w:val="28"/>
        </w:rPr>
        <w:t xml:space="preserve">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</w:t>
      </w:r>
      <w:r w:rsidR="00DF4A1D">
        <w:rPr>
          <w:sz w:val="28"/>
          <w:szCs w:val="28"/>
        </w:rPr>
        <w:t>ям</w:t>
      </w:r>
      <w:r>
        <w:rPr>
          <w:sz w:val="28"/>
          <w:szCs w:val="28"/>
        </w:rPr>
        <w:t xml:space="preserve"> № 1</w:t>
      </w:r>
      <w:r w:rsidR="00DF4A1D">
        <w:rPr>
          <w:sz w:val="28"/>
          <w:szCs w:val="28"/>
        </w:rPr>
        <w:t>, 2, 3</w:t>
      </w:r>
      <w:r>
        <w:rPr>
          <w:sz w:val="28"/>
          <w:szCs w:val="28"/>
        </w:rPr>
        <w:t xml:space="preserve">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</w:t>
      </w:r>
      <w:bookmarkStart w:id="0" w:name="_GoBack"/>
      <w:bookmarkEnd w:id="0"/>
      <w:r w:rsidR="00FA7770" w:rsidRPr="00FA7770">
        <w:rPr>
          <w:sz w:val="28"/>
          <w:szCs w:val="28"/>
        </w:rPr>
        <w:t>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055B3" w:rsidRPr="003E699F" w:rsidRDefault="004055B3" w:rsidP="004055B3">
      <w:pPr>
        <w:jc w:val="center"/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>Н.А. Петраков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C11CD5" w:rsidRDefault="00C11CD5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4A470E">
        <w:t>28.10.2016</w:t>
      </w:r>
      <w:r w:rsidRPr="00975B18">
        <w:t xml:space="preserve"> г № </w:t>
      </w:r>
      <w:r w:rsidR="004A470E">
        <w:t>41</w:t>
      </w:r>
      <w:r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F4710">
              <w:rPr>
                <w:sz w:val="28"/>
                <w:szCs w:val="28"/>
              </w:rPr>
              <w:t>2</w:t>
            </w:r>
            <w:r w:rsidR="006104FA">
              <w:rPr>
                <w:sz w:val="28"/>
                <w:szCs w:val="28"/>
              </w:rPr>
              <w:t>131</w:t>
            </w:r>
            <w:r>
              <w:rPr>
                <w:sz w:val="28"/>
                <w:szCs w:val="28"/>
              </w:rPr>
              <w:t>,</w:t>
            </w:r>
            <w:r w:rsidR="006104FA">
              <w:rPr>
                <w:sz w:val="28"/>
                <w:szCs w:val="28"/>
              </w:rPr>
              <w:t>57999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6104FA" w:rsidRPr="006104FA">
              <w:rPr>
                <w:sz w:val="28"/>
                <w:szCs w:val="28"/>
              </w:rPr>
              <w:t>48793,69229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1165D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D1165D">
              <w:rPr>
                <w:sz w:val="28"/>
                <w:szCs w:val="28"/>
              </w:rPr>
              <w:t>793,69229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1165D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D1165D">
              <w:rPr>
                <w:sz w:val="28"/>
                <w:szCs w:val="28"/>
              </w:rPr>
              <w:t>606,44229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A25E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A25EC1" w:rsidRPr="00A25EC1" w:rsidRDefault="00A25EC1" w:rsidP="00AD1C57">
            <w:pPr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1985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</w:rPr>
            </w:pPr>
            <w:r w:rsidRPr="00A25EC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A25EC1" w:rsidRPr="00576549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25EC1" w:rsidRPr="00A25EC1" w:rsidRDefault="00D1165D" w:rsidP="00DC41C1">
            <w:pPr>
              <w:jc w:val="center"/>
              <w:rPr>
                <w:sz w:val="28"/>
                <w:szCs w:val="28"/>
              </w:rPr>
            </w:pPr>
            <w:r w:rsidRPr="00D1165D">
              <w:rPr>
                <w:sz w:val="28"/>
                <w:szCs w:val="28"/>
              </w:rPr>
              <w:t>400,73689</w:t>
            </w:r>
          </w:p>
        </w:tc>
        <w:tc>
          <w:tcPr>
            <w:tcW w:w="1276" w:type="dxa"/>
            <w:shd w:val="clear" w:color="auto" w:fill="auto"/>
          </w:tcPr>
          <w:p w:rsidR="00A25EC1" w:rsidRPr="00DC41C1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A2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1165D" w:rsidP="00DC41C1">
            <w:pPr>
              <w:jc w:val="center"/>
              <w:rPr>
                <w:sz w:val="28"/>
              </w:rPr>
            </w:pPr>
            <w:r w:rsidRPr="00D1165D">
              <w:rPr>
                <w:sz w:val="28"/>
              </w:rPr>
              <w:t>5904,00000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1165D" w:rsidP="00AD0C89">
            <w:pPr>
              <w:jc w:val="center"/>
              <w:rPr>
                <w:sz w:val="28"/>
              </w:rPr>
            </w:pPr>
            <w:r w:rsidRPr="00D1165D">
              <w:rPr>
                <w:sz w:val="28"/>
              </w:rPr>
              <w:t>1993,00000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1165D" w:rsidP="000B141D">
            <w:pPr>
              <w:jc w:val="center"/>
              <w:rPr>
                <w:sz w:val="28"/>
              </w:rPr>
            </w:pPr>
            <w:r w:rsidRPr="00D1165D">
              <w:rPr>
                <w:sz w:val="28"/>
              </w:rPr>
              <w:t>28414,71640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1165D" w:rsidP="00DC41C1">
            <w:pPr>
              <w:jc w:val="center"/>
              <w:rPr>
                <w:sz w:val="28"/>
              </w:rPr>
            </w:pPr>
            <w:r w:rsidRPr="00D1165D">
              <w:rPr>
                <w:sz w:val="28"/>
              </w:rPr>
              <w:t>991,98900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25EC1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6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1165D" w:rsidP="00DC41C1">
            <w:pPr>
              <w:jc w:val="center"/>
              <w:rPr>
                <w:sz w:val="28"/>
              </w:rPr>
            </w:pPr>
            <w:r w:rsidRPr="00D1165D">
              <w:rPr>
                <w:sz w:val="28"/>
              </w:rPr>
              <w:t>902,00000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410DA" w:rsidP="00DC41C1">
            <w:pPr>
              <w:jc w:val="center"/>
              <w:rPr>
                <w:sz w:val="28"/>
              </w:rPr>
            </w:pPr>
            <w:r w:rsidRPr="00C410DA">
              <w:rPr>
                <w:sz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C410DA" w:rsidP="00163BCB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6104FA" w:rsidP="005F4710">
            <w:pPr>
              <w:jc w:val="center"/>
              <w:rPr>
                <w:sz w:val="28"/>
              </w:rPr>
            </w:pPr>
            <w:r w:rsidRPr="006104FA">
              <w:rPr>
                <w:sz w:val="28"/>
              </w:rPr>
              <w:t>4062,00000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 xml:space="preserve">Бюджет Тяжинского </w:t>
            </w:r>
            <w:r w:rsidRPr="00700E30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6104FA" w:rsidP="005F4710">
            <w:pPr>
              <w:jc w:val="center"/>
              <w:rPr>
                <w:sz w:val="28"/>
              </w:rPr>
            </w:pPr>
            <w:r w:rsidRPr="006104FA">
              <w:rPr>
                <w:sz w:val="28"/>
              </w:rPr>
              <w:t>4062,00000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6104FA" w:rsidP="00DC41C1">
            <w:pPr>
              <w:jc w:val="center"/>
              <w:rPr>
                <w:sz w:val="28"/>
              </w:rPr>
            </w:pPr>
            <w:r w:rsidRPr="006104FA">
              <w:rPr>
                <w:sz w:val="28"/>
              </w:rPr>
              <w:t>6111,85000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6104FA" w:rsidP="00DC41C1">
            <w:pPr>
              <w:jc w:val="center"/>
              <w:rPr>
                <w:sz w:val="28"/>
              </w:rPr>
            </w:pPr>
            <w:r w:rsidRPr="006104FA">
              <w:rPr>
                <w:sz w:val="28"/>
              </w:rPr>
              <w:t>1802,85000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6104FA" w:rsidP="00DC41C1">
            <w:pPr>
              <w:jc w:val="center"/>
              <w:rPr>
                <w:sz w:val="28"/>
              </w:rPr>
            </w:pPr>
            <w:r w:rsidRPr="006104FA">
              <w:rPr>
                <w:sz w:val="28"/>
              </w:rPr>
              <w:t>3410,00000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6104FA" w:rsidP="00DC41C1">
            <w:pPr>
              <w:jc w:val="center"/>
              <w:rPr>
                <w:sz w:val="28"/>
              </w:rPr>
            </w:pPr>
            <w:r w:rsidRPr="006104FA">
              <w:rPr>
                <w:sz w:val="28"/>
              </w:rPr>
              <w:t>899,00000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6104FA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6104FA" w:rsidRPr="0094338B" w:rsidRDefault="006104FA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6104FA" w:rsidRPr="0094338B" w:rsidRDefault="006104FA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6104FA" w:rsidRPr="007E0B16" w:rsidRDefault="006104FA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6104FA" w:rsidRPr="00C32447" w:rsidRDefault="006104F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6104FA" w:rsidRPr="005047B3" w:rsidRDefault="006104FA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6104FA" w:rsidRPr="00242333" w:rsidRDefault="006104FA" w:rsidP="00DF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D1165D">
              <w:rPr>
                <w:sz w:val="28"/>
                <w:szCs w:val="28"/>
              </w:rPr>
              <w:t>606,44229</w:t>
            </w:r>
          </w:p>
        </w:tc>
        <w:tc>
          <w:tcPr>
            <w:tcW w:w="992" w:type="dxa"/>
            <w:shd w:val="clear" w:color="auto" w:fill="auto"/>
          </w:tcPr>
          <w:p w:rsidR="006104FA" w:rsidRPr="00242333" w:rsidRDefault="006104FA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6104FA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6104FA" w:rsidRPr="0094338B" w:rsidRDefault="006104F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6104FA" w:rsidRPr="00D64000" w:rsidRDefault="006104FA" w:rsidP="00AD1C57">
            <w:pPr>
              <w:rPr>
                <w:sz w:val="28"/>
                <w:szCs w:val="28"/>
              </w:rPr>
            </w:pPr>
            <w:r w:rsidRPr="00D64000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3119" w:type="dxa"/>
            <w:shd w:val="clear" w:color="auto" w:fill="auto"/>
          </w:tcPr>
          <w:p w:rsidR="006104FA" w:rsidRPr="00547620" w:rsidRDefault="006104FA" w:rsidP="000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64000">
              <w:rPr>
                <w:sz w:val="28"/>
                <w:szCs w:val="28"/>
              </w:rPr>
              <w:t>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6104FA" w:rsidRDefault="006104FA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104FA" w:rsidRPr="007A0E8E" w:rsidRDefault="006104FA" w:rsidP="005047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104FA" w:rsidRPr="00A25EC1" w:rsidRDefault="006104FA" w:rsidP="00DF21BE">
            <w:pPr>
              <w:jc w:val="center"/>
              <w:rPr>
                <w:sz w:val="28"/>
                <w:szCs w:val="28"/>
              </w:rPr>
            </w:pPr>
            <w:r w:rsidRPr="00D1165D">
              <w:rPr>
                <w:sz w:val="28"/>
                <w:szCs w:val="28"/>
              </w:rPr>
              <w:t>400,73689</w:t>
            </w:r>
          </w:p>
        </w:tc>
        <w:tc>
          <w:tcPr>
            <w:tcW w:w="992" w:type="dxa"/>
            <w:shd w:val="clear" w:color="auto" w:fill="auto"/>
          </w:tcPr>
          <w:p w:rsidR="006104FA" w:rsidRPr="00242333" w:rsidRDefault="006104FA" w:rsidP="005047B3">
            <w:pPr>
              <w:rPr>
                <w:sz w:val="28"/>
                <w:szCs w:val="28"/>
              </w:rPr>
            </w:pPr>
          </w:p>
        </w:tc>
      </w:tr>
      <w:tr w:rsidR="006104FA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6104FA" w:rsidRPr="0094338B" w:rsidRDefault="006104FA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6104FA" w:rsidRPr="0094338B" w:rsidRDefault="006104FA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6104FA" w:rsidRPr="0094338B" w:rsidRDefault="006104FA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6104FA" w:rsidRPr="00C32447" w:rsidRDefault="006104F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6104FA" w:rsidRPr="007A0E8E" w:rsidRDefault="006104FA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6104FA" w:rsidRPr="00242333" w:rsidRDefault="006104FA" w:rsidP="00DF21BE">
            <w:pPr>
              <w:jc w:val="center"/>
              <w:rPr>
                <w:sz w:val="28"/>
              </w:rPr>
            </w:pPr>
            <w:r w:rsidRPr="00D1165D">
              <w:rPr>
                <w:sz w:val="28"/>
              </w:rPr>
              <w:t>5904,00000</w:t>
            </w:r>
          </w:p>
        </w:tc>
        <w:tc>
          <w:tcPr>
            <w:tcW w:w="992" w:type="dxa"/>
            <w:shd w:val="clear" w:color="auto" w:fill="auto"/>
          </w:tcPr>
          <w:p w:rsidR="006104FA" w:rsidRPr="00242333" w:rsidRDefault="006104FA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914AE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914AE3" w:rsidRPr="0094338B" w:rsidRDefault="00914AE3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914AE3" w:rsidRPr="0094338B" w:rsidRDefault="00914AE3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914AE3" w:rsidRPr="00F72ADC" w:rsidRDefault="00914AE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</w:t>
            </w:r>
            <w:r w:rsidRPr="00547620">
              <w:rPr>
                <w:sz w:val="28"/>
                <w:szCs w:val="28"/>
              </w:rPr>
              <w:lastRenderedPageBreak/>
              <w:t xml:space="preserve">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914AE3" w:rsidRPr="00F72ADC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4AE3" w:rsidRPr="007A0E8E" w:rsidRDefault="00914AE3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6104FA" w:rsidP="00D1165D">
            <w:pPr>
              <w:jc w:val="center"/>
              <w:rPr>
                <w:sz w:val="28"/>
              </w:rPr>
            </w:pPr>
            <w:r w:rsidRPr="006104FA">
              <w:rPr>
                <w:sz w:val="28"/>
              </w:rPr>
              <w:t>1993,00000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914AE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914AE3" w:rsidRPr="0094338B" w:rsidRDefault="00914AE3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914AE3" w:rsidRPr="0094338B" w:rsidRDefault="00914AE3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914AE3" w:rsidRPr="0094338B" w:rsidRDefault="00914AE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914AE3" w:rsidRPr="0094338B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4AE3" w:rsidRPr="007A0E8E" w:rsidRDefault="00914AE3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6104FA" w:rsidP="00D1165D">
            <w:pPr>
              <w:jc w:val="center"/>
              <w:rPr>
                <w:sz w:val="28"/>
              </w:rPr>
            </w:pPr>
            <w:r w:rsidRPr="006104FA">
              <w:rPr>
                <w:sz w:val="28"/>
              </w:rPr>
              <w:t>28414,71640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6104FA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6104FA" w:rsidRPr="0094338B" w:rsidRDefault="006104FA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6104FA" w:rsidRPr="0094338B" w:rsidRDefault="006104FA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6104FA" w:rsidRPr="0094338B" w:rsidRDefault="006104FA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6104FA" w:rsidRPr="0094338B" w:rsidRDefault="006104F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6104FA" w:rsidRPr="007A0E8E" w:rsidRDefault="006104FA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6104FA" w:rsidRPr="00242333" w:rsidRDefault="006104FA" w:rsidP="00DF21BE">
            <w:pPr>
              <w:jc w:val="center"/>
              <w:rPr>
                <w:sz w:val="28"/>
              </w:rPr>
            </w:pPr>
            <w:r w:rsidRPr="00D1165D">
              <w:rPr>
                <w:sz w:val="28"/>
              </w:rPr>
              <w:t>991,98900</w:t>
            </w:r>
          </w:p>
        </w:tc>
        <w:tc>
          <w:tcPr>
            <w:tcW w:w="992" w:type="dxa"/>
            <w:shd w:val="clear" w:color="auto" w:fill="auto"/>
          </w:tcPr>
          <w:p w:rsidR="006104FA" w:rsidRPr="00242333" w:rsidRDefault="006104FA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6104FA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6104FA" w:rsidRPr="0094338B" w:rsidRDefault="006104FA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6104FA" w:rsidRPr="0094338B" w:rsidRDefault="006104FA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6104FA" w:rsidRPr="0094338B" w:rsidRDefault="006104FA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6104FA" w:rsidRPr="0094338B" w:rsidRDefault="006104F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6104FA" w:rsidRPr="005047B3" w:rsidRDefault="006104FA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6104FA" w:rsidRPr="00242333" w:rsidRDefault="006104FA" w:rsidP="00DF21BE">
            <w:pPr>
              <w:jc w:val="center"/>
              <w:rPr>
                <w:sz w:val="28"/>
              </w:rPr>
            </w:pPr>
            <w:r w:rsidRPr="00D1165D">
              <w:rPr>
                <w:sz w:val="28"/>
              </w:rPr>
              <w:t>902,00000</w:t>
            </w:r>
          </w:p>
        </w:tc>
        <w:tc>
          <w:tcPr>
            <w:tcW w:w="992" w:type="dxa"/>
            <w:shd w:val="clear" w:color="auto" w:fill="auto"/>
          </w:tcPr>
          <w:p w:rsidR="006104FA" w:rsidRPr="00242333" w:rsidRDefault="006104FA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 xml:space="preserve">нт </w:t>
            </w:r>
            <w:r w:rsidR="00024508">
              <w:rPr>
                <w:sz w:val="28"/>
                <w:szCs w:val="28"/>
                <w:u w:val="single"/>
              </w:rPr>
              <w:lastRenderedPageBreak/>
              <w:t>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6104FA" w:rsidRPr="00DC41C1" w:rsidRDefault="006104FA" w:rsidP="006104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4062</w:t>
            </w:r>
          </w:p>
          <w:p w:rsidR="00DC41C1" w:rsidRPr="00DC41C1" w:rsidRDefault="00DC41C1" w:rsidP="006104F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032FE7" w:rsidRDefault="00032FE7" w:rsidP="00032FE7">
      <w:pPr>
        <w:jc w:val="right"/>
      </w:pPr>
      <w:r>
        <w:lastRenderedPageBreak/>
        <w:t>Приложение № 2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4A470E" w:rsidP="00032FE7">
      <w:pPr>
        <w:jc w:val="right"/>
      </w:pPr>
      <w:r w:rsidRPr="004A470E">
        <w:t>от 28.10.2016 г № 41-п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Default="00032FE7" w:rsidP="00032FE7">
      <w:pPr>
        <w:jc w:val="right"/>
      </w:pPr>
      <w:r>
        <w:t>период 2016 и 2017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1B0199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800,64824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</w:t>
            </w:r>
            <w:r w:rsidR="00981988" w:rsidRPr="006B1C72">
              <w:rPr>
                <w:sz w:val="28"/>
                <w:szCs w:val="28"/>
              </w:rPr>
              <w:lastRenderedPageBreak/>
              <w:t>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Pr="006C232E">
              <w:rPr>
                <w:sz w:val="28"/>
                <w:szCs w:val="28"/>
              </w:rPr>
              <w:t>694,85960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 w:rsidR="001B0199" w:rsidRPr="001B0199">
              <w:rPr>
                <w:sz w:val="28"/>
                <w:szCs w:val="28"/>
              </w:rPr>
              <w:t>105,78864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981988" w:rsidRPr="009F14DB" w:rsidRDefault="00981988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 w:rsidRPr="001B0199">
              <w:rPr>
                <w:sz w:val="28"/>
                <w:szCs w:val="28"/>
              </w:rPr>
              <w:t>105,78864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 w:rsidRPr="001B0199">
              <w:rPr>
                <w:sz w:val="28"/>
                <w:szCs w:val="28"/>
              </w:rPr>
              <w:t>59,00000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267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 w:rsidRPr="001B0199">
              <w:rPr>
                <w:sz w:val="28"/>
                <w:szCs w:val="28"/>
              </w:rPr>
              <w:t>46,78864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409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C11CD5" w:rsidRDefault="00C11CD5" w:rsidP="00981988">
      <w:pPr>
        <w:tabs>
          <w:tab w:val="left" w:pos="7830"/>
        </w:tabs>
        <w:jc w:val="center"/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981988" w:rsidRPr="00547620" w:rsidRDefault="001B0199" w:rsidP="00B261D0">
            <w:pPr>
              <w:jc w:val="center"/>
              <w:rPr>
                <w:sz w:val="28"/>
                <w:szCs w:val="28"/>
              </w:rPr>
            </w:pPr>
            <w:r w:rsidRPr="001B0199">
              <w:rPr>
                <w:sz w:val="28"/>
                <w:szCs w:val="28"/>
              </w:rPr>
              <w:t>59,00000</w:t>
            </w:r>
          </w:p>
        </w:tc>
        <w:tc>
          <w:tcPr>
            <w:tcW w:w="850" w:type="dxa"/>
            <w:shd w:val="clear" w:color="auto" w:fill="auto"/>
          </w:tcPr>
          <w:p w:rsidR="00981988" w:rsidRPr="00547620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1B0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40,00000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Обеспечение инвентарем и оборудованием </w:t>
            </w:r>
            <w:r w:rsidRPr="00547620">
              <w:rPr>
                <w:sz w:val="28"/>
                <w:szCs w:val="28"/>
              </w:rPr>
              <w:lastRenderedPageBreak/>
              <w:t>пожаротушения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6,78864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3402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60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C11CD5" w:rsidP="00C11CD5">
      <w:pPr>
        <w:rPr>
          <w:sz w:val="28"/>
          <w:szCs w:val="28"/>
        </w:rPr>
        <w:sectPr w:rsidR="00981988" w:rsidSect="00D500B6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/>
    <w:p w:rsidR="00032FE7" w:rsidRDefault="00032FE7" w:rsidP="00032FE7">
      <w:pPr>
        <w:jc w:val="right"/>
      </w:pPr>
      <w:r>
        <w:t>Приложение № 3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4A470E" w:rsidP="00032FE7">
      <w:pPr>
        <w:jc w:val="right"/>
      </w:pPr>
      <w:r w:rsidRPr="004A470E">
        <w:t>от 28.10.2016 г № 41-п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Pr="00975B18" w:rsidRDefault="00032FE7" w:rsidP="00032FE7">
      <w:pPr>
        <w:jc w:val="right"/>
      </w:pPr>
      <w:r>
        <w:t>период 2016 и 2017 годов»»</w:t>
      </w:r>
    </w:p>
    <w:p w:rsidR="00981988" w:rsidRPr="00975B18" w:rsidRDefault="00981988" w:rsidP="00981988">
      <w:pPr>
        <w:jc w:val="right"/>
      </w:pPr>
    </w:p>
    <w:p w:rsidR="00981988" w:rsidRPr="00975B1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Pr="00975B18" w:rsidRDefault="00981988" w:rsidP="00981988"/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rPr>
          <w:sz w:val="40"/>
          <w:szCs w:val="40"/>
        </w:rPr>
      </w:pPr>
    </w:p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981988" w:rsidRPr="00B23113" w:rsidRDefault="00981988" w:rsidP="00981988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981988" w:rsidRPr="00B23113" w:rsidRDefault="00981988" w:rsidP="00981988">
      <w:pPr>
        <w:jc w:val="center"/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/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  <w:r w:rsidRPr="00B23113">
        <w:t>пгт Тяжинский – 201</w:t>
      </w:r>
      <w:r>
        <w:t>4</w:t>
      </w:r>
    </w:p>
    <w:p w:rsidR="00981988" w:rsidRDefault="00981988" w:rsidP="00981988">
      <w:pPr>
        <w:jc w:val="center"/>
      </w:pPr>
    </w:p>
    <w:p w:rsidR="00981988" w:rsidRPr="00B23113" w:rsidRDefault="00981988" w:rsidP="00981988"/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;</w:t>
            </w:r>
          </w:p>
          <w:p w:rsidR="00981988" w:rsidRPr="00C7797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942E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15</w:t>
            </w:r>
            <w:r w:rsidRPr="00942E5A">
              <w:rPr>
                <w:sz w:val="28"/>
                <w:szCs w:val="28"/>
              </w:rPr>
              <w:t>,</w:t>
            </w:r>
            <w:r w:rsidR="00BB56A3">
              <w:rPr>
                <w:sz w:val="28"/>
                <w:szCs w:val="28"/>
              </w:rPr>
              <w:t>20628</w:t>
            </w:r>
            <w:r w:rsidRPr="009B3DF7">
              <w:rPr>
                <w:sz w:val="28"/>
                <w:szCs w:val="28"/>
              </w:rPr>
              <w:t xml:space="preserve"> 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>
              <w:rPr>
                <w:sz w:val="28"/>
                <w:szCs w:val="28"/>
              </w:rPr>
              <w:t>оселения, в том числе по годам:</w:t>
            </w: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Pr="00C52240">
              <w:rPr>
                <w:sz w:val="28"/>
                <w:szCs w:val="28"/>
              </w:rPr>
              <w:t>310,09305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BB56A3" w:rsidRPr="00BB56A3">
              <w:rPr>
                <w:sz w:val="28"/>
                <w:szCs w:val="28"/>
              </w:rPr>
              <w:t>5,11323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, с</w:t>
            </w:r>
            <w:r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1988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Default="00981988" w:rsidP="00981988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981988" w:rsidRPr="00B23CF8" w:rsidRDefault="00981988" w:rsidP="00981988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981988" w:rsidRPr="009A3978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>
        <w:rPr>
          <w:sz w:val="28"/>
          <w:szCs w:val="28"/>
        </w:rPr>
        <w:t xml:space="preserve">, </w:t>
      </w:r>
      <w:r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981988" w:rsidRPr="00B23CF8" w:rsidRDefault="00981988" w:rsidP="00981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>
        <w:rPr>
          <w:sz w:val="28"/>
          <w:szCs w:val="28"/>
        </w:rPr>
        <w:t>;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lastRenderedPageBreak/>
        <w:t>совершенствование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981988" w:rsidRPr="00DA3880" w:rsidRDefault="00981988" w:rsidP="00981988">
      <w:pPr>
        <w:ind w:firstLine="70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981988" w:rsidRPr="00955843" w:rsidRDefault="00981988" w:rsidP="00981988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98198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981988" w:rsidRPr="00B23CF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981988" w:rsidRPr="00B23CF8" w:rsidRDefault="00981988" w:rsidP="00981988">
      <w:pPr>
        <w:pStyle w:val="a7"/>
        <w:ind w:left="142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981988" w:rsidRPr="003F0E37" w:rsidRDefault="00981988" w:rsidP="009819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Default="00981988" w:rsidP="00981988">
      <w:pPr>
        <w:ind w:firstLine="708"/>
        <w:rPr>
          <w:b/>
          <w:color w:val="FF0000"/>
          <w:sz w:val="28"/>
          <w:szCs w:val="28"/>
        </w:rPr>
      </w:pPr>
    </w:p>
    <w:p w:rsidR="00C11CD5" w:rsidRPr="00C11CD5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  <w:r>
        <w:rPr>
          <w:b/>
          <w:sz w:val="28"/>
          <w:szCs w:val="28"/>
        </w:rPr>
        <w:t xml:space="preserve"> </w:t>
      </w: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C11CD5" w:rsidRDefault="00C11CD5" w:rsidP="00C11CD5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1134"/>
        <w:gridCol w:w="850"/>
        <w:gridCol w:w="992"/>
      </w:tblGrid>
      <w:tr w:rsidR="00C11CD5" w:rsidRPr="005F1E79" w:rsidTr="00C11CD5">
        <w:trPr>
          <w:trHeight w:val="676"/>
        </w:trPr>
        <w:tc>
          <w:tcPr>
            <w:tcW w:w="675" w:type="dxa"/>
            <w:vMerge w:val="restart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C11CD5" w:rsidRPr="005F1E79" w:rsidTr="00C11CD5">
        <w:trPr>
          <w:trHeight w:val="288"/>
        </w:trPr>
        <w:tc>
          <w:tcPr>
            <w:tcW w:w="675" w:type="dxa"/>
            <w:vMerge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85134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11CD5" w:rsidRPr="00D52D84" w:rsidRDefault="00C11CD5" w:rsidP="0085134C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11CD5" w:rsidRDefault="00C11CD5" w:rsidP="0085134C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Pr="00DE47E9" w:rsidRDefault="00C11CD5" w:rsidP="0085134C">
            <w:pPr>
              <w:jc w:val="center"/>
              <w:rPr>
                <w:sz w:val="28"/>
              </w:rPr>
            </w:pPr>
            <w:r w:rsidRPr="005050E5">
              <w:rPr>
                <w:sz w:val="28"/>
              </w:rPr>
              <w:t>310,09305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85134C">
            <w:pPr>
              <w:jc w:val="center"/>
              <w:rPr>
                <w:sz w:val="28"/>
              </w:rPr>
            </w:pPr>
            <w:r w:rsidRPr="00FD285C">
              <w:rPr>
                <w:sz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C11CD5" w:rsidRPr="00DE47E9" w:rsidRDefault="00C11CD5" w:rsidP="0085134C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85134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11CD5" w:rsidRPr="005F1E79" w:rsidRDefault="00C11CD5" w:rsidP="0085134C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</w:t>
            </w:r>
            <w:r>
              <w:rPr>
                <w:sz w:val="28"/>
                <w:szCs w:val="28"/>
              </w:rPr>
              <w:t>актике терроризма и экстремизма</w:t>
            </w:r>
          </w:p>
        </w:tc>
        <w:tc>
          <w:tcPr>
            <w:tcW w:w="1843" w:type="dxa"/>
            <w:shd w:val="clear" w:color="auto" w:fill="auto"/>
          </w:tcPr>
          <w:p w:rsidR="00C11CD5" w:rsidRPr="00ED1059" w:rsidRDefault="00C11CD5" w:rsidP="0085134C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Pr="00ED1059" w:rsidRDefault="00C11CD5" w:rsidP="0085134C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23,37496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85134C">
            <w:pPr>
              <w:jc w:val="center"/>
              <w:rPr>
                <w:sz w:val="28"/>
                <w:szCs w:val="28"/>
              </w:rPr>
            </w:pPr>
            <w:r w:rsidRPr="00FD285C">
              <w:rPr>
                <w:sz w:val="28"/>
                <w:szCs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C11CD5" w:rsidRPr="002919F2" w:rsidRDefault="00C11CD5" w:rsidP="00851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851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C11CD5" w:rsidRPr="002919F2" w:rsidRDefault="00C11CD5" w:rsidP="0085134C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C11CD5" w:rsidRPr="00B52023" w:rsidRDefault="00C11CD5" w:rsidP="0085134C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Default="00C11CD5" w:rsidP="0085134C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286,71809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85134C">
            <w:pPr>
              <w:jc w:val="center"/>
              <w:rPr>
                <w:sz w:val="28"/>
                <w:szCs w:val="28"/>
              </w:rPr>
            </w:pPr>
            <w:r w:rsidRPr="0002450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11CD5" w:rsidRDefault="00C11CD5" w:rsidP="00851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Pr="00C11CD5" w:rsidRDefault="00981988" w:rsidP="00C11CD5">
      <w:pPr>
        <w:sectPr w:rsidR="00981988" w:rsidRPr="00C11CD5" w:rsidSect="00163BCB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981988" w:rsidRPr="00C709E5" w:rsidRDefault="00981988" w:rsidP="00C11CD5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981988" w:rsidRPr="00C709E5" w:rsidRDefault="00981988" w:rsidP="00981988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562"/>
        <w:gridCol w:w="3969"/>
        <w:gridCol w:w="1275"/>
        <w:gridCol w:w="993"/>
        <w:gridCol w:w="850"/>
        <w:gridCol w:w="850"/>
      </w:tblGrid>
      <w:tr w:rsidR="00981988" w:rsidRPr="00C709E5" w:rsidTr="00C11CD5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C709E5" w:rsidTr="00C11CD5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C709E5" w:rsidTr="00C11CD5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6562" w:type="dxa"/>
            <w:shd w:val="clear" w:color="auto" w:fill="auto"/>
          </w:tcPr>
          <w:p w:rsidR="00981988" w:rsidRPr="00C709E5" w:rsidRDefault="00981988" w:rsidP="00B261D0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969" w:type="dxa"/>
            <w:shd w:val="clear" w:color="auto" w:fill="auto"/>
          </w:tcPr>
          <w:p w:rsidR="00981988" w:rsidRPr="00C709E5" w:rsidRDefault="00981988" w:rsidP="00B261D0"/>
        </w:tc>
        <w:tc>
          <w:tcPr>
            <w:tcW w:w="1275" w:type="dxa"/>
            <w:shd w:val="clear" w:color="auto" w:fill="auto"/>
          </w:tcPr>
          <w:p w:rsidR="00981988" w:rsidRPr="00C709E5" w:rsidRDefault="00981988" w:rsidP="00B261D0"/>
        </w:tc>
        <w:tc>
          <w:tcPr>
            <w:tcW w:w="993" w:type="dxa"/>
            <w:shd w:val="clear" w:color="auto" w:fill="auto"/>
          </w:tcPr>
          <w:p w:rsidR="00981988" w:rsidRPr="00A70FE5" w:rsidRDefault="00981988" w:rsidP="00B261D0"/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C11CD5">
        <w:trPr>
          <w:trHeight w:val="194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6562" w:type="dxa"/>
            <w:shd w:val="clear" w:color="auto" w:fill="auto"/>
          </w:tcPr>
          <w:p w:rsidR="00981988" w:rsidRPr="00E1118B" w:rsidRDefault="00981988" w:rsidP="00B261D0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969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275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23,37496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3613C4" w:rsidP="00B261D0">
            <w:pPr>
              <w:jc w:val="center"/>
              <w:rPr>
                <w:sz w:val="28"/>
                <w:szCs w:val="28"/>
              </w:rPr>
            </w:pPr>
            <w:r w:rsidRPr="003613C4">
              <w:rPr>
                <w:sz w:val="28"/>
                <w:szCs w:val="28"/>
              </w:rPr>
              <w:t>5,11323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C11CD5">
        <w:trPr>
          <w:trHeight w:val="708"/>
        </w:trPr>
        <w:tc>
          <w:tcPr>
            <w:tcW w:w="776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6562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</w:t>
            </w:r>
            <w:r>
              <w:rPr>
                <w:sz w:val="28"/>
                <w:szCs w:val="28"/>
              </w:rPr>
              <w:t>ижения</w:t>
            </w:r>
          </w:p>
        </w:tc>
        <w:tc>
          <w:tcPr>
            <w:tcW w:w="3969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275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286,71809</w:t>
            </w:r>
          </w:p>
        </w:tc>
        <w:tc>
          <w:tcPr>
            <w:tcW w:w="850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/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D500B6" w:rsidRDefault="00D500B6" w:rsidP="00D500B6"/>
    <w:sectPr w:rsidR="00D500B6" w:rsidSect="00FD285C">
      <w:pgSz w:w="16834" w:h="11909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055B3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D4441-2A52-49CA-B4E1-9C90B1D9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68C6-224B-4543-9C62-EB97056F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4958</Words>
  <Characters>28261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</cp:revision>
  <cp:lastPrinted>2016-11-02T03:28:00Z</cp:lastPrinted>
  <dcterms:created xsi:type="dcterms:W3CDTF">2016-11-02T03:28:00Z</dcterms:created>
  <dcterms:modified xsi:type="dcterms:W3CDTF">2016-11-02T03:28:00Z</dcterms:modified>
</cp:coreProperties>
</file>