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164222">
        <w:rPr>
          <w:bCs/>
          <w:noProof/>
          <w:sz w:val="28"/>
          <w:szCs w:val="28"/>
        </w:rPr>
        <w:t>18.09.2017г.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 xml:space="preserve">. № </w:t>
      </w:r>
      <w:r w:rsidR="00164222">
        <w:rPr>
          <w:bCs/>
          <w:noProof/>
          <w:sz w:val="28"/>
          <w:szCs w:val="28"/>
        </w:rPr>
        <w:t>33</w:t>
      </w:r>
      <w:r w:rsidR="00311098" w:rsidRPr="0031109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597D" w:rsidRPr="00C4597D">
        <w:rPr>
          <w:sz w:val="28"/>
          <w:szCs w:val="28"/>
        </w:rPr>
        <w:t xml:space="preserve">Приложение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11CD5" w:rsidRPr="0057033D" w:rsidRDefault="00FA7770" w:rsidP="008A18CD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8A18CD">
        <w:rPr>
          <w:sz w:val="28"/>
          <w:szCs w:val="28"/>
        </w:rPr>
        <w:t>Н.А.Петраков</w:t>
      </w:r>
    </w:p>
    <w:p w:rsidR="00F71475" w:rsidRDefault="00F7147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1962D8" w:rsidP="00975B18">
      <w:pPr>
        <w:jc w:val="right"/>
      </w:pPr>
      <w:r w:rsidRPr="00975B18">
        <w:t>О</w:t>
      </w:r>
      <w:r w:rsidR="00975B18" w:rsidRPr="00975B18">
        <w:t>т</w:t>
      </w:r>
      <w:r>
        <w:t>18.09.2017г.</w:t>
      </w:r>
      <w:r w:rsidR="00311098" w:rsidRPr="00311098">
        <w:t xml:space="preserve">г. № </w:t>
      </w:r>
      <w:r>
        <w:t>33</w:t>
      </w:r>
      <w:r w:rsidR="00311098" w:rsidRPr="00311098">
        <w:t>-п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proofErr w:type="spellStart"/>
      <w:r w:rsidRPr="00B23113">
        <w:t>пгт</w:t>
      </w:r>
      <w:proofErr w:type="spellEnd"/>
      <w:r w:rsidRPr="00B23113">
        <w:t xml:space="preserve">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EC02A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DF7228">
              <w:rPr>
                <w:sz w:val="28"/>
                <w:szCs w:val="28"/>
              </w:rPr>
              <w:t>768</w:t>
            </w:r>
            <w:r>
              <w:rPr>
                <w:sz w:val="28"/>
                <w:szCs w:val="28"/>
              </w:rPr>
              <w:t>,</w:t>
            </w:r>
            <w:r w:rsidR="00DF7228">
              <w:rPr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>1979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F7228" w:rsidRPr="00DF7228">
              <w:rPr>
                <w:sz w:val="28"/>
                <w:szCs w:val="28"/>
              </w:rPr>
              <w:t>61940,11979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F71475" w:rsidP="00F71475">
            <w:pPr>
              <w:jc w:val="center"/>
              <w:rPr>
                <w:b/>
                <w:bCs/>
                <w:sz w:val="28"/>
                <w:szCs w:val="28"/>
              </w:rPr>
            </w:pPr>
            <w:r w:rsidRPr="00F71475">
              <w:rPr>
                <w:b/>
                <w:bCs/>
                <w:sz w:val="28"/>
                <w:szCs w:val="28"/>
              </w:rPr>
              <w:t>61940,11979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FE02C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52</w:t>
            </w:r>
            <w:r w:rsidRPr="00FE02C5">
              <w:rPr>
                <w:sz w:val="28"/>
                <w:szCs w:val="28"/>
                <w:u w:val="single"/>
              </w:rPr>
              <w:t>575,40437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11421,66353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2221,07072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37215,22264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915,44748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F71475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F71475" w:rsidRPr="000D02AB" w:rsidRDefault="00F71475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F71475" w:rsidRPr="00F71475" w:rsidRDefault="00F71475" w:rsidP="00AD1C57">
            <w:pPr>
              <w:rPr>
                <w:sz w:val="28"/>
                <w:szCs w:val="28"/>
                <w:u w:val="single"/>
              </w:rPr>
            </w:pPr>
            <w:r w:rsidRPr="00F71475">
              <w:rPr>
                <w:sz w:val="28"/>
                <w:szCs w:val="28"/>
                <w:u w:val="single"/>
              </w:rPr>
              <w:t>Подпрограмма "Капитальный и текущий ремонт муниципального жилого фонда"</w:t>
            </w:r>
          </w:p>
        </w:tc>
        <w:tc>
          <w:tcPr>
            <w:tcW w:w="1985" w:type="dxa"/>
            <w:shd w:val="clear" w:color="auto" w:fill="auto"/>
          </w:tcPr>
          <w:p w:rsidR="00F71475" w:rsidRPr="000D02AB" w:rsidRDefault="00F71475" w:rsidP="00AC7390">
            <w:pPr>
              <w:rPr>
                <w:sz w:val="28"/>
              </w:rPr>
            </w:pPr>
            <w:r w:rsidRPr="00F71475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 w:rsidRPr="00F71475">
              <w:rPr>
                <w:sz w:val="28"/>
                <w:szCs w:val="28"/>
                <w:u w:val="single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</w:tr>
      <w:tr w:rsidR="00F71475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F71475" w:rsidRDefault="00F71475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F71475" w:rsidRPr="00F71475" w:rsidRDefault="00F71475" w:rsidP="00AD1C57">
            <w:pPr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F71475" w:rsidRPr="00F71475" w:rsidRDefault="00F71475" w:rsidP="00AC7390">
            <w:pPr>
              <w:rPr>
                <w:sz w:val="28"/>
              </w:rPr>
            </w:pPr>
            <w:r w:rsidRPr="00F71475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F71475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F71475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763E1C" w:rsidP="00FE02C5">
            <w:pPr>
              <w:jc w:val="center"/>
              <w:rPr>
                <w:sz w:val="28"/>
                <w:szCs w:val="28"/>
                <w:u w:val="single"/>
              </w:rPr>
            </w:pPr>
            <w:r w:rsidRPr="00763E1C">
              <w:rPr>
                <w:sz w:val="28"/>
                <w:szCs w:val="28"/>
                <w:u w:val="single"/>
              </w:rPr>
              <w:t>2984,2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76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763E1C" w:rsidP="00FE02C5">
            <w:pPr>
              <w:jc w:val="center"/>
              <w:rPr>
                <w:sz w:val="28"/>
                <w:szCs w:val="28"/>
              </w:rPr>
            </w:pPr>
            <w:r w:rsidRPr="00763E1C">
              <w:rPr>
                <w:sz w:val="28"/>
                <w:szCs w:val="28"/>
              </w:rPr>
              <w:t>2984,2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763E1C">
            <w:pPr>
              <w:jc w:val="center"/>
              <w:rPr>
                <w:sz w:val="28"/>
                <w:szCs w:val="28"/>
                <w:u w:val="single"/>
              </w:rPr>
            </w:pPr>
            <w:r w:rsidRPr="00763E1C">
              <w:rPr>
                <w:sz w:val="28"/>
                <w:szCs w:val="28"/>
                <w:u w:val="single"/>
              </w:rPr>
              <w:t>6344,02842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763E1C">
            <w:pPr>
              <w:jc w:val="center"/>
              <w:rPr>
                <w:sz w:val="28"/>
                <w:szCs w:val="28"/>
              </w:rPr>
            </w:pPr>
            <w:r w:rsidRPr="00763E1C">
              <w:rPr>
                <w:sz w:val="28"/>
                <w:szCs w:val="28"/>
              </w:rPr>
              <w:t>1937,4582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763E1C">
            <w:pPr>
              <w:jc w:val="center"/>
              <w:rPr>
                <w:sz w:val="28"/>
                <w:szCs w:val="28"/>
              </w:rPr>
            </w:pPr>
            <w:r w:rsidRPr="00763E1C">
              <w:rPr>
                <w:sz w:val="28"/>
                <w:szCs w:val="28"/>
              </w:rPr>
              <w:lastRenderedPageBreak/>
              <w:t>3536,57022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DF7228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 w:rsidR="00DF7228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DF7228" w:rsidP="00045804">
            <w:pPr>
              <w:jc w:val="center"/>
              <w:rPr>
                <w:sz w:val="28"/>
                <w:szCs w:val="28"/>
                <w:u w:val="single"/>
              </w:rPr>
            </w:pPr>
            <w:r w:rsidRPr="00DF7228">
              <w:rPr>
                <w:sz w:val="28"/>
                <w:szCs w:val="28"/>
                <w:u w:val="single"/>
              </w:rPr>
              <w:t>52575,40437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5658FB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94338B" w:rsidRDefault="005658FB" w:rsidP="00163BCB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C32447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DF7228" w:rsidP="009918D6">
            <w:pPr>
              <w:jc w:val="center"/>
              <w:rPr>
                <w:sz w:val="28"/>
                <w:szCs w:val="28"/>
              </w:rPr>
            </w:pPr>
            <w:r w:rsidRPr="00DF7228">
              <w:rPr>
                <w:sz w:val="28"/>
                <w:szCs w:val="28"/>
              </w:rPr>
              <w:t>11421,66353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5658F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DF7228" w:rsidP="009918D6">
            <w:pPr>
              <w:jc w:val="center"/>
              <w:rPr>
                <w:sz w:val="28"/>
                <w:szCs w:val="28"/>
              </w:rPr>
            </w:pPr>
            <w:r w:rsidRPr="00DF7228">
              <w:rPr>
                <w:sz w:val="28"/>
                <w:szCs w:val="28"/>
              </w:rPr>
              <w:t>2221,07072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F7228" w:rsidP="00045804">
            <w:pPr>
              <w:jc w:val="center"/>
              <w:rPr>
                <w:sz w:val="28"/>
                <w:szCs w:val="28"/>
              </w:rPr>
            </w:pPr>
            <w:r w:rsidRPr="00DF7228">
              <w:rPr>
                <w:sz w:val="28"/>
                <w:szCs w:val="28"/>
              </w:rPr>
              <w:t>37215,22264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газоснабжению </w:t>
            </w:r>
            <w:r w:rsidRPr="00547620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76576F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1098" w:rsidRPr="00311098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EA68AD" w:rsidP="00045804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915,44748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E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DF7228" w:rsidP="00FE02C5">
            <w:pPr>
              <w:jc w:val="center"/>
              <w:rPr>
                <w:sz w:val="28"/>
                <w:szCs w:val="28"/>
              </w:rPr>
            </w:pPr>
            <w:r w:rsidRPr="00DF7228">
              <w:rPr>
                <w:sz w:val="28"/>
                <w:szCs w:val="28"/>
              </w:rPr>
              <w:t>36,487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lastRenderedPageBreak/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 xml:space="preserve">от </w:t>
      </w:r>
      <w:r w:rsidR="00CB69DE">
        <w:t>18.09.2017</w:t>
      </w:r>
      <w:r w:rsidR="008D4B2D" w:rsidRPr="008D4B2D">
        <w:t xml:space="preserve">г. № </w:t>
      </w:r>
      <w:r w:rsidR="00CB69DE">
        <w:t>33</w:t>
      </w:r>
      <w:r w:rsidR="008D4B2D" w:rsidRPr="008D4B2D">
        <w:t>-п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3CA3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133,53216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="00981988"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983CA3" w:rsidRPr="00983CA3">
              <w:rPr>
                <w:sz w:val="28"/>
                <w:szCs w:val="28"/>
              </w:rPr>
              <w:t>51,53216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b/>
                <w:bCs/>
                <w:sz w:val="28"/>
                <w:szCs w:val="28"/>
              </w:rPr>
            </w:pPr>
            <w:r w:rsidRPr="003B63E2">
              <w:rPr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sz w:val="28"/>
                <w:szCs w:val="28"/>
              </w:rPr>
            </w:pPr>
            <w:r w:rsidRPr="003B63E2">
              <w:rPr>
                <w:sz w:val="28"/>
                <w:szCs w:val="28"/>
              </w:rPr>
              <w:t>31,53216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sz w:val="28"/>
                <w:szCs w:val="28"/>
              </w:rPr>
            </w:pPr>
            <w:r w:rsidRPr="003B63E2">
              <w:rPr>
                <w:sz w:val="28"/>
                <w:szCs w:val="28"/>
              </w:rPr>
              <w:t>31,53216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8D4B2D" w:rsidRDefault="008D4B2D" w:rsidP="00DE792A">
      <w:pPr>
        <w:jc w:val="right"/>
      </w:pPr>
      <w:r w:rsidRPr="008D4B2D">
        <w:t xml:space="preserve">от </w:t>
      </w:r>
      <w:r w:rsidR="00CB69DE">
        <w:t>18.09.2017</w:t>
      </w:r>
      <w:r w:rsidRPr="008D4B2D">
        <w:t xml:space="preserve">г. № </w:t>
      </w:r>
      <w:r w:rsidR="00CB69DE">
        <w:t>33</w:t>
      </w:r>
      <w:r w:rsidRPr="008D4B2D">
        <w:t xml:space="preserve">-п 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</w:t>
      </w:r>
      <w:r w:rsidRPr="00B23CF8">
        <w:rPr>
          <w:rFonts w:cs="Arial"/>
          <w:sz w:val="28"/>
          <w:szCs w:val="28"/>
        </w:rPr>
        <w:lastRenderedPageBreak/>
        <w:t>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045804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045804" w:rsidRPr="005F1E79" w:rsidTr="00045804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045804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45804" w:rsidRDefault="00045804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8F5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4222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62D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3F3E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A5921"/>
    <w:rsid w:val="003B19DF"/>
    <w:rsid w:val="003B1EA3"/>
    <w:rsid w:val="003B4AD0"/>
    <w:rsid w:val="003B50F4"/>
    <w:rsid w:val="003B63E2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E79D9"/>
    <w:rsid w:val="00404A3B"/>
    <w:rsid w:val="00405187"/>
    <w:rsid w:val="00412622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033D"/>
    <w:rsid w:val="0057246D"/>
    <w:rsid w:val="0057549F"/>
    <w:rsid w:val="00575E70"/>
    <w:rsid w:val="0057613B"/>
    <w:rsid w:val="00576549"/>
    <w:rsid w:val="005837A3"/>
    <w:rsid w:val="0058648D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25BCE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1CA6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18C7"/>
    <w:rsid w:val="00763E1C"/>
    <w:rsid w:val="0076576F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6748C"/>
    <w:rsid w:val="00970D68"/>
    <w:rsid w:val="009738C5"/>
    <w:rsid w:val="00973C9D"/>
    <w:rsid w:val="00975623"/>
    <w:rsid w:val="00975B18"/>
    <w:rsid w:val="00976935"/>
    <w:rsid w:val="00981988"/>
    <w:rsid w:val="00983CA3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D6EA8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B69DE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DF722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8AD"/>
    <w:rsid w:val="00EA69C6"/>
    <w:rsid w:val="00EB104E"/>
    <w:rsid w:val="00EB179F"/>
    <w:rsid w:val="00EC02A9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1475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FF2"/>
    <w:rsid w:val="00FB51FB"/>
    <w:rsid w:val="00FB6E2C"/>
    <w:rsid w:val="00FC5BF2"/>
    <w:rsid w:val="00FD0B2B"/>
    <w:rsid w:val="00FD0D85"/>
    <w:rsid w:val="00FD285C"/>
    <w:rsid w:val="00FE02C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5A98-797A-436B-83E3-9A0EF1C5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23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40</cp:revision>
  <cp:lastPrinted>2016-11-01T06:22:00Z</cp:lastPrinted>
  <dcterms:created xsi:type="dcterms:W3CDTF">2017-03-03T10:17:00Z</dcterms:created>
  <dcterms:modified xsi:type="dcterms:W3CDTF">2017-09-20T02:49:00Z</dcterms:modified>
</cp:coreProperties>
</file>