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761658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 xml:space="preserve"> </w:t>
      </w:r>
      <w:r w:rsidR="00FA7770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754054">
        <w:rPr>
          <w:bCs/>
          <w:noProof/>
          <w:sz w:val="28"/>
          <w:szCs w:val="28"/>
        </w:rPr>
        <w:t>18.12.2017</w:t>
      </w:r>
      <w:r w:rsidRPr="00FA7770">
        <w:rPr>
          <w:bCs/>
          <w:noProof/>
          <w:sz w:val="28"/>
          <w:szCs w:val="28"/>
        </w:rPr>
        <w:t xml:space="preserve">г. № </w:t>
      </w:r>
      <w:r w:rsidR="00D24194">
        <w:rPr>
          <w:bCs/>
          <w:noProof/>
          <w:sz w:val="28"/>
          <w:szCs w:val="28"/>
        </w:rPr>
        <w:t xml:space="preserve"> 47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DB0BE8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DB0BE8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и 20</w:t>
      </w:r>
      <w:r w:rsidR="00DB0BE8">
        <w:rPr>
          <w:b/>
          <w:sz w:val="28"/>
          <w:szCs w:val="28"/>
        </w:rPr>
        <w:t>20</w:t>
      </w:r>
      <w:r w:rsidR="00423A8B" w:rsidRPr="00423A8B">
        <w:rPr>
          <w:b/>
          <w:sz w:val="28"/>
          <w:szCs w:val="28"/>
        </w:rPr>
        <w:t xml:space="preserve"> годов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943CE9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C70" w:rsidRPr="00874C70">
        <w:rPr>
          <w:rFonts w:cs="Garamond"/>
          <w:bCs/>
          <w:sz w:val="28"/>
          <w:szCs w:val="28"/>
        </w:rPr>
        <w:t xml:space="preserve">Утвердить муниципальную программу Тяжинского городского поселения «Жилищно-коммунальный и дорожный комплекс, энергосбережение и повышение </w:t>
      </w:r>
      <w:proofErr w:type="spellStart"/>
      <w:r w:rsidR="00874C70" w:rsidRPr="00874C70">
        <w:rPr>
          <w:rFonts w:cs="Garamond"/>
          <w:bCs/>
          <w:sz w:val="28"/>
          <w:szCs w:val="28"/>
        </w:rPr>
        <w:t>энергоэффективности</w:t>
      </w:r>
      <w:proofErr w:type="spellEnd"/>
      <w:r w:rsidR="00874C70" w:rsidRPr="00874C70">
        <w:rPr>
          <w:rFonts w:cs="Garamond"/>
          <w:bCs/>
          <w:sz w:val="28"/>
          <w:szCs w:val="28"/>
        </w:rPr>
        <w:t xml:space="preserve"> Тяжинского городского поселения» на 201</w:t>
      </w:r>
      <w:r w:rsidR="00DB0BE8">
        <w:rPr>
          <w:rFonts w:cs="Garamond"/>
          <w:bCs/>
          <w:sz w:val="28"/>
          <w:szCs w:val="28"/>
        </w:rPr>
        <w:t>8</w:t>
      </w:r>
      <w:r w:rsidR="00874C70" w:rsidRPr="00874C70">
        <w:rPr>
          <w:rFonts w:cs="Garamond"/>
          <w:bCs/>
          <w:sz w:val="28"/>
          <w:szCs w:val="28"/>
        </w:rPr>
        <w:t xml:space="preserve"> год и на плановый период 201</w:t>
      </w:r>
      <w:r w:rsidR="00DB0BE8">
        <w:rPr>
          <w:rFonts w:cs="Garamond"/>
          <w:bCs/>
          <w:sz w:val="28"/>
          <w:szCs w:val="28"/>
        </w:rPr>
        <w:t>9</w:t>
      </w:r>
      <w:r w:rsidR="00874C70" w:rsidRPr="00874C70">
        <w:rPr>
          <w:rFonts w:cs="Garamond"/>
          <w:bCs/>
          <w:sz w:val="28"/>
          <w:szCs w:val="28"/>
        </w:rPr>
        <w:t xml:space="preserve"> и 20</w:t>
      </w:r>
      <w:r w:rsidR="00DB0BE8">
        <w:rPr>
          <w:rFonts w:cs="Garamond"/>
          <w:bCs/>
          <w:sz w:val="28"/>
          <w:szCs w:val="28"/>
        </w:rPr>
        <w:t>20</w:t>
      </w:r>
      <w:r w:rsidR="00874C70" w:rsidRPr="00874C70">
        <w:rPr>
          <w:rFonts w:cs="Garamond"/>
          <w:bCs/>
          <w:sz w:val="28"/>
          <w:szCs w:val="28"/>
        </w:rPr>
        <w:t xml:space="preserve"> годов согласно приложению № 1 к настоящему постановлению.</w:t>
      </w:r>
    </w:p>
    <w:p w:rsidR="008A18CD" w:rsidRDefault="00874C70" w:rsidP="0075405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4C70">
        <w:rPr>
          <w:sz w:val="28"/>
          <w:szCs w:val="28"/>
        </w:rPr>
        <w:t>Утвердить муниципальную программу Тяжинского городского поселения «Предупреждение и ликвидация чрезвычайных ситуаций на территории Тяжинского городского поселения» на 201</w:t>
      </w:r>
      <w:r w:rsidR="00DB0BE8">
        <w:rPr>
          <w:sz w:val="28"/>
          <w:szCs w:val="28"/>
        </w:rPr>
        <w:t>8</w:t>
      </w:r>
      <w:r w:rsidRPr="00874C70">
        <w:rPr>
          <w:sz w:val="28"/>
          <w:szCs w:val="28"/>
        </w:rPr>
        <w:t xml:space="preserve"> год и на плановый период 201</w:t>
      </w:r>
      <w:r w:rsidR="00DB0BE8">
        <w:rPr>
          <w:sz w:val="28"/>
          <w:szCs w:val="28"/>
        </w:rPr>
        <w:t>9</w:t>
      </w:r>
      <w:r w:rsidRPr="00874C70">
        <w:rPr>
          <w:sz w:val="28"/>
          <w:szCs w:val="28"/>
        </w:rPr>
        <w:t xml:space="preserve"> и 20</w:t>
      </w:r>
      <w:r w:rsidR="00DB0BE8">
        <w:rPr>
          <w:sz w:val="28"/>
          <w:szCs w:val="28"/>
        </w:rPr>
        <w:t>20</w:t>
      </w:r>
      <w:r w:rsidRPr="00874C70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2F61D9" w:rsidRDefault="002F61D9" w:rsidP="0075405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61D9">
        <w:rPr>
          <w:sz w:val="28"/>
          <w:szCs w:val="28"/>
        </w:rPr>
        <w:t xml:space="preserve">. Утвердить муниципальную программу Тяжинского городского поселения «Обеспечение безопасности населения Тяжинского городского поселения» на 2018 год и на плановый период 2019 и 2020 годов согласно приложению № </w:t>
      </w:r>
      <w:r>
        <w:rPr>
          <w:sz w:val="28"/>
          <w:szCs w:val="28"/>
        </w:rPr>
        <w:t>3</w:t>
      </w:r>
      <w:r w:rsidRPr="002F61D9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2F61D9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2F61D9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="00BE791A">
        <w:rPr>
          <w:sz w:val="28"/>
          <w:szCs w:val="28"/>
        </w:rPr>
        <w:t xml:space="preserve">                                    Н.А.Петраков</w:t>
      </w:r>
      <w:r w:rsidRPr="00FA7770">
        <w:rPr>
          <w:sz w:val="28"/>
          <w:szCs w:val="28"/>
        </w:rPr>
        <w:tab/>
      </w:r>
      <w:r w:rsidR="00D24194">
        <w:rPr>
          <w:sz w:val="28"/>
          <w:szCs w:val="28"/>
        </w:rPr>
        <w:t xml:space="preserve">                                        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BE791A" w:rsidRDefault="00BE791A" w:rsidP="00BE791A">
      <w:bookmarkStart w:id="0" w:name="_GoBack"/>
      <w:bookmarkEnd w:id="0"/>
      <w:r>
        <w:t xml:space="preserve"> </w:t>
      </w:r>
    </w:p>
    <w:p w:rsidR="00975B18" w:rsidRPr="00975B18" w:rsidRDefault="00975B18" w:rsidP="00BE791A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754054">
        <w:t>18.12.2017</w:t>
      </w:r>
      <w:r w:rsidRPr="00975B18">
        <w:t xml:space="preserve"> г № </w:t>
      </w:r>
      <w:r w:rsidR="00D24194">
        <w:t>47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>Тяжинского городского поселения на 201</w:t>
      </w:r>
      <w:r w:rsidR="00DB0BE8">
        <w:t>8</w:t>
      </w:r>
      <w:r w:rsidRPr="008A18CD">
        <w:t xml:space="preserve">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</w:t>
      </w:r>
      <w:r w:rsidR="00DB0BE8">
        <w:t>9</w:t>
      </w:r>
      <w:r w:rsidRPr="008A18CD">
        <w:t xml:space="preserve"> и 20</w:t>
      </w:r>
      <w:r w:rsidR="00DB0BE8">
        <w:t>20</w:t>
      </w:r>
      <w:r w:rsidRPr="008A18CD">
        <w:t xml:space="preserve">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B0BE8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B0BE8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 w:rsidR="00DB0BE8"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B23113" w:rsidRPr="00B23113" w:rsidRDefault="00B23113" w:rsidP="00BE791A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 w:rsidR="00754054">
        <w:t>7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</w:t>
      </w:r>
      <w:r w:rsidR="008A552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8A55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8A552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</w:t>
            </w:r>
            <w:r w:rsidR="008A5524">
              <w:rPr>
                <w:sz w:val="28"/>
                <w:szCs w:val="28"/>
              </w:rPr>
              <w:t>19</w:t>
            </w:r>
            <w:r w:rsidRPr="00795177">
              <w:rPr>
                <w:sz w:val="28"/>
                <w:szCs w:val="28"/>
              </w:rPr>
              <w:t xml:space="preserve"> и 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>-20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F0167A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80550</w:t>
            </w:r>
            <w:r w:rsidR="008A18CD" w:rsidRPr="00F0167A">
              <w:rPr>
                <w:sz w:val="28"/>
                <w:szCs w:val="28"/>
              </w:rPr>
              <w:t>,00</w:t>
            </w:r>
            <w:r w:rsidR="00B23113" w:rsidRPr="00F0167A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8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754054" w:rsidRPr="00754054">
              <w:rPr>
                <w:sz w:val="28"/>
                <w:szCs w:val="28"/>
              </w:rPr>
              <w:t>49445</w:t>
            </w:r>
            <w:r w:rsidR="00754054">
              <w:rPr>
                <w:sz w:val="28"/>
                <w:szCs w:val="28"/>
              </w:rPr>
              <w:t>,00</w:t>
            </w:r>
            <w:r w:rsidRPr="00F0167A">
              <w:rPr>
                <w:sz w:val="28"/>
                <w:szCs w:val="28"/>
              </w:rPr>
              <w:t xml:space="preserve">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  <w:r w:rsidR="001319D9" w:rsidRPr="00F0167A">
              <w:rPr>
                <w:sz w:val="28"/>
                <w:szCs w:val="28"/>
              </w:rPr>
              <w:tab/>
            </w:r>
            <w:r w:rsidR="001319D9" w:rsidRPr="00F0167A">
              <w:rPr>
                <w:sz w:val="28"/>
                <w:szCs w:val="28"/>
              </w:rPr>
              <w:tab/>
            </w:r>
          </w:p>
          <w:p w:rsidR="00B23113" w:rsidRPr="00F0167A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ab/>
            </w: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9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754054" w:rsidRPr="00754054">
              <w:rPr>
                <w:sz w:val="28"/>
                <w:szCs w:val="28"/>
              </w:rPr>
              <w:t>15505</w:t>
            </w:r>
            <w:r w:rsidR="00754054">
              <w:rPr>
                <w:sz w:val="28"/>
                <w:szCs w:val="28"/>
              </w:rPr>
              <w:t>,00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754054">
            <w:pPr>
              <w:ind w:firstLine="709"/>
              <w:jc w:val="both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</w:t>
            </w:r>
            <w:r w:rsidR="008A5524" w:rsidRPr="00F0167A">
              <w:rPr>
                <w:sz w:val="28"/>
                <w:szCs w:val="28"/>
              </w:rPr>
              <w:t>20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754054">
              <w:rPr>
                <w:sz w:val="28"/>
                <w:szCs w:val="28"/>
              </w:rPr>
              <w:t>15600</w:t>
            </w:r>
            <w:r w:rsidR="00F0167A" w:rsidRPr="00F0167A">
              <w:rPr>
                <w:sz w:val="28"/>
                <w:szCs w:val="28"/>
              </w:rPr>
              <w:t>,00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79517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 xml:space="preserve">сохранение муниципального жилищного фонда в состоянии, </w:t>
            </w:r>
            <w:r w:rsidRPr="00A31708">
              <w:rPr>
                <w:sz w:val="28"/>
                <w:szCs w:val="28"/>
              </w:rPr>
              <w:lastRenderedPageBreak/>
              <w:t>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lastRenderedPageBreak/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33A0D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33A0D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BE791A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B33A0D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33A0D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33A0D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33A0D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754054" w:rsidRPr="005F1E79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5F1E79" w:rsidRDefault="0075405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754054" w:rsidRPr="008B351A" w:rsidRDefault="00754054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754054" w:rsidRPr="008B351A" w:rsidRDefault="00754054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49445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15600</w:t>
            </w:r>
          </w:p>
        </w:tc>
      </w:tr>
      <w:tr w:rsidR="00754054" w:rsidRPr="005F1E79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BF076E" w:rsidRDefault="00754054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754054" w:rsidRPr="00BF076E" w:rsidRDefault="00754054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754054" w:rsidRPr="00BF076E" w:rsidRDefault="00754054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37651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9954</w:t>
            </w:r>
          </w:p>
        </w:tc>
      </w:tr>
      <w:tr w:rsidR="00754054" w:rsidRPr="005F1E79" w:rsidTr="00B33A0D">
        <w:trPr>
          <w:trHeight w:val="267"/>
        </w:trPr>
        <w:tc>
          <w:tcPr>
            <w:tcW w:w="776" w:type="dxa"/>
            <w:shd w:val="clear" w:color="auto" w:fill="auto"/>
          </w:tcPr>
          <w:p w:rsidR="00754054" w:rsidRPr="005F1E79" w:rsidRDefault="00754054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754054" w:rsidRPr="005F1E79" w:rsidRDefault="00754054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754054" w:rsidRPr="00E40B0B" w:rsidRDefault="0075405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</w:tr>
      <w:tr w:rsidR="00754054" w:rsidRPr="008B1A8E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7447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5F4CB4">
              <w:rPr>
                <w:sz w:val="28"/>
                <w:szCs w:val="28"/>
              </w:rPr>
              <w:lastRenderedPageBreak/>
              <w:t>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 xml:space="preserve">Бюджет </w:t>
            </w:r>
            <w:r w:rsidRPr="005F4CB4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B33A0D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B33A0D" w:rsidRPr="000D02AB" w:rsidRDefault="00B33A0D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B33A0D" w:rsidRPr="000D02AB" w:rsidRDefault="00B33A0D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B33A0D" w:rsidRPr="000D02AB" w:rsidRDefault="00B33A0D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3180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9214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2466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754054" w:rsidRPr="005F1E79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D24194" w:rsidRDefault="00D24194" w:rsidP="00B23113">
      <w:pPr>
        <w:jc w:val="center"/>
        <w:rPr>
          <w:b/>
          <w:sz w:val="28"/>
          <w:szCs w:val="28"/>
        </w:rPr>
      </w:pPr>
    </w:p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0167A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</w:t>
            </w:r>
            <w:r w:rsidR="00F0167A">
              <w:rPr>
                <w:sz w:val="28"/>
                <w:szCs w:val="28"/>
              </w:rPr>
              <w:t>20</w:t>
            </w:r>
          </w:p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754054" w:rsidRPr="0094338B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754054" w:rsidRPr="007E0B16" w:rsidRDefault="0075405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754054" w:rsidRPr="00C32447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37651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9954</w:t>
            </w:r>
          </w:p>
        </w:tc>
      </w:tr>
      <w:tr w:rsidR="00754054" w:rsidRPr="0094338B" w:rsidTr="00B33A0D">
        <w:trPr>
          <w:trHeight w:val="267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75405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547620">
              <w:rPr>
                <w:sz w:val="28"/>
                <w:szCs w:val="28"/>
              </w:rPr>
              <w:lastRenderedPageBreak/>
              <w:t xml:space="preserve">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C32447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F72ADC" w:rsidRDefault="0075405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F72ADC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7447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547620">
              <w:rPr>
                <w:sz w:val="28"/>
                <w:szCs w:val="28"/>
              </w:rPr>
              <w:lastRenderedPageBreak/>
              <w:t>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D6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9F5E76" w:rsidRPr="0094338B" w:rsidTr="00B33A0D">
        <w:trPr>
          <w:trHeight w:val="966"/>
        </w:trPr>
        <w:tc>
          <w:tcPr>
            <w:tcW w:w="776" w:type="dxa"/>
            <w:shd w:val="clear" w:color="auto" w:fill="auto"/>
          </w:tcPr>
          <w:p w:rsidR="009F5E76" w:rsidRPr="0094338B" w:rsidRDefault="009F5E76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9F5E76" w:rsidRPr="0094338B" w:rsidRDefault="009F5E76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9F5E76" w:rsidRPr="00C15CCB" w:rsidRDefault="009F5E76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9F5E76" w:rsidRDefault="009F5E7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2B689D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2B689D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2B689D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BE791A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BE791A">
      <w:pPr>
        <w:jc w:val="both"/>
        <w:rPr>
          <w:sz w:val="28"/>
          <w:szCs w:val="28"/>
        </w:rPr>
      </w:pPr>
    </w:p>
    <w:p w:rsidR="00BE791A" w:rsidRDefault="00BE791A" w:rsidP="00BE791A">
      <w:pPr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 xml:space="preserve">от </w:t>
      </w:r>
      <w:r w:rsidR="00754054">
        <w:t>18.12.2017</w:t>
      </w:r>
      <w:r>
        <w:t xml:space="preserve"> г № </w:t>
      </w:r>
      <w:r w:rsidR="00D24194">
        <w:t>47</w:t>
      </w:r>
      <w:r>
        <w:t>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>Тяжинского городского поселения на 201</w:t>
      </w:r>
      <w:r w:rsidR="00F0167A">
        <w:t>8</w:t>
      </w:r>
      <w:r>
        <w:t xml:space="preserve"> год </w:t>
      </w:r>
    </w:p>
    <w:p w:rsidR="00981988" w:rsidRDefault="00E016EB" w:rsidP="00E016EB">
      <w:pPr>
        <w:jc w:val="right"/>
      </w:pPr>
      <w:r>
        <w:t>и на плановый период 201</w:t>
      </w:r>
      <w:r w:rsidR="00F0167A">
        <w:t>9</w:t>
      </w:r>
      <w:r>
        <w:t xml:space="preserve"> и 20</w:t>
      </w:r>
      <w:r w:rsidR="00F0167A">
        <w:t>20</w:t>
      </w:r>
      <w:r>
        <w:t xml:space="preserve">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F0167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 и на плановый период 201</w:t>
      </w:r>
      <w:r w:rsidR="00F0167A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и 20</w:t>
      </w:r>
      <w:r w:rsidR="00F0167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E016EB" w:rsidRDefault="00BE791A" w:rsidP="00BE791A">
      <w:pPr>
        <w:jc w:val="center"/>
      </w:pPr>
      <w:proofErr w:type="spellStart"/>
      <w:r w:rsidRPr="003874DD">
        <w:t>пгт</w:t>
      </w:r>
      <w:proofErr w:type="spellEnd"/>
      <w:r w:rsidRPr="003874DD">
        <w:t xml:space="preserve">. Тяжинский </w:t>
      </w:r>
      <w:r>
        <w:t>–</w:t>
      </w:r>
      <w:r w:rsidRPr="003874DD">
        <w:t xml:space="preserve"> 20</w:t>
      </w:r>
      <w:r>
        <w:t>17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016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F016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F016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324367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и 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Срок реализации </w:t>
            </w:r>
            <w:r w:rsidRPr="0027065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>-20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B8772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30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C0597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</w:t>
            </w:r>
            <w:r w:rsidR="00C0597B">
              <w:rPr>
                <w:sz w:val="28"/>
                <w:szCs w:val="28"/>
              </w:rPr>
              <w:t>20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324367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324367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BE791A">
          <w:pgSz w:w="11909" w:h="16834"/>
          <w:pgMar w:top="1134" w:right="851" w:bottom="1134" w:left="1134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324367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324367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и 20</w:t>
      </w:r>
      <w:r w:rsidR="00324367">
        <w:rPr>
          <w:b/>
          <w:sz w:val="28"/>
          <w:szCs w:val="28"/>
        </w:rPr>
        <w:t>20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324367" w:rsidRPr="009F14DB" w:rsidRDefault="00324367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267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2919F2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2919F2" w:rsidRDefault="00324367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324367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324367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2919F2" w:rsidTr="00B33A0D">
        <w:trPr>
          <w:trHeight w:val="1932"/>
        </w:trPr>
        <w:tc>
          <w:tcPr>
            <w:tcW w:w="776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324367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324367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6B2076">
      <w:pPr>
        <w:sectPr w:rsidR="00324367" w:rsidSect="00BE791A">
          <w:pgSz w:w="16834" w:h="11909" w:orient="landscape"/>
          <w:pgMar w:top="1134" w:right="851" w:bottom="1134" w:left="1134" w:header="720" w:footer="720" w:gutter="0"/>
          <w:cols w:space="60"/>
          <w:noEndnote/>
          <w:docGrid w:linePitch="326"/>
        </w:sectPr>
      </w:pPr>
    </w:p>
    <w:p w:rsidR="00324367" w:rsidRPr="00324367" w:rsidRDefault="00324367" w:rsidP="00324367">
      <w:pPr>
        <w:jc w:val="right"/>
      </w:pPr>
      <w:r w:rsidRPr="00324367">
        <w:lastRenderedPageBreak/>
        <w:t xml:space="preserve">Приложение № </w:t>
      </w:r>
      <w:r>
        <w:t>3</w:t>
      </w:r>
    </w:p>
    <w:p w:rsidR="00324367" w:rsidRPr="00324367" w:rsidRDefault="00324367" w:rsidP="00324367">
      <w:pPr>
        <w:jc w:val="right"/>
      </w:pPr>
      <w:r w:rsidRPr="00324367">
        <w:t xml:space="preserve">к постановлению администрации </w:t>
      </w:r>
    </w:p>
    <w:p w:rsidR="00324367" w:rsidRPr="00324367" w:rsidRDefault="00324367" w:rsidP="00324367">
      <w:pPr>
        <w:jc w:val="right"/>
      </w:pPr>
      <w:r w:rsidRPr="00324367">
        <w:t xml:space="preserve">Тяжинского городского поселения </w:t>
      </w:r>
    </w:p>
    <w:p w:rsidR="00324367" w:rsidRPr="00324367" w:rsidRDefault="00324367" w:rsidP="00324367">
      <w:pPr>
        <w:jc w:val="right"/>
      </w:pPr>
      <w:r w:rsidRPr="00324367">
        <w:t xml:space="preserve">от </w:t>
      </w:r>
      <w:r w:rsidR="00754054">
        <w:t>18.12.2017</w:t>
      </w:r>
      <w:r w:rsidRPr="00324367">
        <w:t xml:space="preserve"> г № </w:t>
      </w:r>
      <w:r w:rsidR="00D24194">
        <w:t>47</w:t>
      </w:r>
      <w:r w:rsidRPr="00324367">
        <w:t>-п</w:t>
      </w:r>
    </w:p>
    <w:p w:rsidR="00324367" w:rsidRPr="00324367" w:rsidRDefault="00324367" w:rsidP="00324367">
      <w:pPr>
        <w:jc w:val="right"/>
      </w:pPr>
      <w:r w:rsidRPr="00324367">
        <w:t xml:space="preserve">«Об утверждении муниципальных программ </w:t>
      </w:r>
    </w:p>
    <w:p w:rsidR="00324367" w:rsidRPr="00324367" w:rsidRDefault="00324367" w:rsidP="00324367">
      <w:pPr>
        <w:jc w:val="right"/>
      </w:pPr>
      <w:r w:rsidRPr="00324367">
        <w:t xml:space="preserve">Тяжинского городского поселения на 2018 год </w:t>
      </w:r>
    </w:p>
    <w:p w:rsidR="00324367" w:rsidRPr="00975B18" w:rsidRDefault="00324367" w:rsidP="00324367">
      <w:pPr>
        <w:jc w:val="right"/>
      </w:pPr>
      <w:r w:rsidRPr="00324367">
        <w:t>и на плановый период 2019 и 2020 годов»</w:t>
      </w:r>
    </w:p>
    <w:p w:rsidR="00324367" w:rsidRPr="00975B18" w:rsidRDefault="00324367" w:rsidP="00324367">
      <w:pPr>
        <w:jc w:val="right"/>
      </w:pPr>
    </w:p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Pr="00975B18" w:rsidRDefault="00324367" w:rsidP="00324367"/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rPr>
          <w:sz w:val="40"/>
          <w:szCs w:val="40"/>
        </w:rPr>
      </w:pPr>
    </w:p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324367" w:rsidRPr="00B23113" w:rsidRDefault="00324367" w:rsidP="00324367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324367" w:rsidRPr="00B23113" w:rsidRDefault="00324367" w:rsidP="00324367">
      <w:pPr>
        <w:jc w:val="center"/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/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BE791A" w:rsidRPr="00B23113" w:rsidRDefault="00BE791A" w:rsidP="00BE791A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>
        <w:t>7</w:t>
      </w:r>
    </w:p>
    <w:p w:rsidR="00324367" w:rsidRDefault="00324367" w:rsidP="00BE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на плановый период 2019 и 2020 годов</w:t>
      </w:r>
    </w:p>
    <w:p w:rsidR="00324367" w:rsidRDefault="00324367" w:rsidP="00324367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324367" w:rsidRPr="00795177" w:rsidTr="002B689D">
        <w:tc>
          <w:tcPr>
            <w:tcW w:w="2759" w:type="dxa"/>
          </w:tcPr>
          <w:p w:rsidR="0032436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324367" w:rsidRPr="00745F60" w:rsidRDefault="00324367" w:rsidP="002B689D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324367" w:rsidRPr="00745F60" w:rsidRDefault="00324367" w:rsidP="002B689D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324367" w:rsidRPr="00745F60" w:rsidRDefault="00324367" w:rsidP="002B689D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324367" w:rsidRPr="00745F60" w:rsidRDefault="00324367" w:rsidP="002B689D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B8772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>-20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324367" w:rsidRPr="00745F60" w:rsidRDefault="00324367" w:rsidP="002B6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324367" w:rsidRPr="00745F60" w:rsidRDefault="00324367" w:rsidP="002B689D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2B689D">
            <w:pPr>
              <w:rPr>
                <w:sz w:val="28"/>
                <w:szCs w:val="28"/>
              </w:rPr>
            </w:pPr>
          </w:p>
          <w:p w:rsidR="00324367" w:rsidRPr="00745F60" w:rsidRDefault="00324367" w:rsidP="002B689D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2B689D">
            <w:pPr>
              <w:rPr>
                <w:sz w:val="28"/>
                <w:szCs w:val="28"/>
              </w:rPr>
            </w:pPr>
          </w:p>
          <w:p w:rsidR="00324367" w:rsidRPr="00745F60" w:rsidRDefault="00324367" w:rsidP="00B87723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24367" w:rsidRPr="00795177" w:rsidTr="002B689D">
        <w:tc>
          <w:tcPr>
            <w:tcW w:w="2759" w:type="dxa"/>
          </w:tcPr>
          <w:p w:rsidR="00324367" w:rsidRPr="00795177" w:rsidRDefault="00324367" w:rsidP="002B689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2B689D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367" w:rsidRDefault="00324367" w:rsidP="00324367">
      <w:pPr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C668DC" w:rsidRDefault="00324367" w:rsidP="00324367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</w:t>
      </w:r>
      <w:proofErr w:type="gramStart"/>
      <w:r w:rsidRPr="00B23CF8">
        <w:rPr>
          <w:rFonts w:cs="Arial"/>
          <w:sz w:val="28"/>
          <w:szCs w:val="28"/>
        </w:rPr>
        <w:t>.У</w:t>
      </w:r>
      <w:proofErr w:type="gramEnd"/>
      <w:r w:rsidRPr="00B23CF8">
        <w:rPr>
          <w:rFonts w:cs="Arial"/>
          <w:sz w:val="28"/>
          <w:szCs w:val="28"/>
        </w:rPr>
        <w:t xml:space="preserve">читывая поступающую в правоохранительные органы информацию об активизации </w:t>
      </w:r>
      <w:r w:rsidRPr="00B23CF8">
        <w:rPr>
          <w:rFonts w:cs="Arial"/>
          <w:sz w:val="28"/>
          <w:szCs w:val="28"/>
        </w:rPr>
        <w:lastRenderedPageBreak/>
        <w:t xml:space="preserve">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</w:t>
      </w:r>
      <w:proofErr w:type="spellStart"/>
      <w:r w:rsidRPr="00B23CF8">
        <w:rPr>
          <w:rFonts w:cs="Arial"/>
          <w:sz w:val="28"/>
          <w:szCs w:val="28"/>
        </w:rPr>
        <w:t>сферы</w:t>
      </w:r>
      <w:proofErr w:type="gramStart"/>
      <w:r w:rsidRPr="00B23CF8">
        <w:rPr>
          <w:rFonts w:cs="Arial"/>
          <w:sz w:val="28"/>
          <w:szCs w:val="28"/>
        </w:rPr>
        <w:t>.У</w:t>
      </w:r>
      <w:proofErr w:type="gramEnd"/>
      <w:r w:rsidRPr="00B23CF8">
        <w:rPr>
          <w:rFonts w:cs="Arial"/>
          <w:sz w:val="28"/>
          <w:szCs w:val="28"/>
        </w:rPr>
        <w:t>ровень</w:t>
      </w:r>
      <w:proofErr w:type="spellEnd"/>
      <w:r w:rsidRPr="00B23CF8">
        <w:rPr>
          <w:rFonts w:cs="Arial"/>
          <w:sz w:val="28"/>
          <w:szCs w:val="28"/>
        </w:rPr>
        <w:t xml:space="preserve">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</w:t>
      </w:r>
      <w:proofErr w:type="spellStart"/>
      <w:r w:rsidRPr="00B23CF8">
        <w:rPr>
          <w:rFonts w:cs="Arial"/>
          <w:sz w:val="28"/>
          <w:szCs w:val="28"/>
        </w:rPr>
        <w:t>отношении.Имеют</w:t>
      </w:r>
      <w:proofErr w:type="spellEnd"/>
      <w:r w:rsidRPr="00B23CF8">
        <w:rPr>
          <w:rFonts w:cs="Arial"/>
          <w:sz w:val="28"/>
          <w:szCs w:val="28"/>
        </w:rPr>
        <w:t xml:space="preserve">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24367" w:rsidRPr="00B23CF8" w:rsidRDefault="00324367" w:rsidP="00324367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324367" w:rsidRPr="009A3978" w:rsidRDefault="00324367" w:rsidP="00324367">
      <w:pPr>
        <w:jc w:val="both"/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324367" w:rsidRPr="00B23CF8" w:rsidRDefault="00324367" w:rsidP="0032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324367" w:rsidRDefault="00324367" w:rsidP="00324367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324367" w:rsidRPr="00DA3880" w:rsidRDefault="00324367" w:rsidP="00324367">
      <w:pPr>
        <w:ind w:firstLine="70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324367" w:rsidRPr="00955843" w:rsidRDefault="00324367" w:rsidP="00324367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324367" w:rsidRDefault="00324367" w:rsidP="00324367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324367" w:rsidRPr="00B23CF8" w:rsidRDefault="00324367" w:rsidP="00324367">
      <w:pPr>
        <w:pStyle w:val="a7"/>
        <w:ind w:left="142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324367" w:rsidRPr="003F0E37" w:rsidRDefault="00324367" w:rsidP="003243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87723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87723">
        <w:rPr>
          <w:sz w:val="28"/>
          <w:szCs w:val="28"/>
        </w:rPr>
        <w:t xml:space="preserve">20 </w:t>
      </w:r>
      <w:r>
        <w:rPr>
          <w:sz w:val="28"/>
          <w:szCs w:val="28"/>
        </w:rPr>
        <w:t>годы.</w:t>
      </w:r>
    </w:p>
    <w:p w:rsidR="00324367" w:rsidRDefault="00324367" w:rsidP="00324367">
      <w:pPr>
        <w:ind w:firstLine="708"/>
        <w:rPr>
          <w:b/>
          <w:color w:val="FF0000"/>
          <w:sz w:val="28"/>
          <w:szCs w:val="28"/>
        </w:rPr>
      </w:pPr>
    </w:p>
    <w:p w:rsidR="00324367" w:rsidRDefault="00324367" w:rsidP="00324367">
      <w:pPr>
        <w:sectPr w:rsidR="00324367" w:rsidSect="00BE791A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324367" w:rsidRDefault="00324367" w:rsidP="00324367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B87723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87723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87723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324367" w:rsidRDefault="00324367" w:rsidP="00324367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324367" w:rsidRPr="005F1E79" w:rsidTr="002B689D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24367" w:rsidRPr="005F1E79" w:rsidTr="002B689D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367" w:rsidRPr="005F1E79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2B689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2B689D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D52D84" w:rsidRDefault="00324367" w:rsidP="002B689D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24367" w:rsidRDefault="00324367" w:rsidP="002B689D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DE47E9" w:rsidRDefault="00324367" w:rsidP="00B87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7723">
              <w:rPr>
                <w:sz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DE47E9" w:rsidRDefault="00324367" w:rsidP="002B689D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DE47E9" w:rsidRDefault="00324367" w:rsidP="002B689D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324367" w:rsidRPr="005F1E79" w:rsidTr="002B689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2B689D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5F1E79" w:rsidRDefault="00324367" w:rsidP="002B689D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324367" w:rsidRPr="00ED1059" w:rsidRDefault="00324367" w:rsidP="002B689D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ED1059" w:rsidRDefault="00324367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2919F2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2919F2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>
      <w:pPr>
        <w:rPr>
          <w:b/>
          <w:sz w:val="28"/>
          <w:szCs w:val="28"/>
        </w:rPr>
      </w:pPr>
    </w:p>
    <w:p w:rsidR="00324367" w:rsidRPr="00C709E5" w:rsidRDefault="00324367" w:rsidP="00324367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324367" w:rsidRPr="00C709E5" w:rsidRDefault="00324367" w:rsidP="00324367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324367" w:rsidRPr="00C709E5" w:rsidTr="002B689D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24367" w:rsidRPr="00C709E5" w:rsidTr="002B689D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C709E5" w:rsidTr="002B689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C709E5" w:rsidRDefault="00324367" w:rsidP="002B689D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324367" w:rsidRPr="00C709E5" w:rsidRDefault="00324367" w:rsidP="002B689D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324367" w:rsidP="002B689D"/>
        </w:tc>
        <w:tc>
          <w:tcPr>
            <w:tcW w:w="1134" w:type="dxa"/>
            <w:shd w:val="clear" w:color="auto" w:fill="auto"/>
          </w:tcPr>
          <w:p w:rsidR="00324367" w:rsidRPr="00C709E5" w:rsidRDefault="00324367" w:rsidP="002B689D"/>
        </w:tc>
        <w:tc>
          <w:tcPr>
            <w:tcW w:w="992" w:type="dxa"/>
            <w:shd w:val="clear" w:color="auto" w:fill="auto"/>
          </w:tcPr>
          <w:p w:rsidR="00324367" w:rsidRPr="00A70FE5" w:rsidRDefault="00324367" w:rsidP="002B689D"/>
        </w:tc>
        <w:tc>
          <w:tcPr>
            <w:tcW w:w="992" w:type="dxa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C709E5" w:rsidTr="002B689D">
        <w:trPr>
          <w:trHeight w:val="2542"/>
        </w:trPr>
        <w:tc>
          <w:tcPr>
            <w:tcW w:w="776" w:type="dxa"/>
            <w:shd w:val="clear" w:color="auto" w:fill="auto"/>
          </w:tcPr>
          <w:p w:rsidR="00324367" w:rsidRPr="00C709E5" w:rsidRDefault="00324367" w:rsidP="002B689D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24367" w:rsidRPr="00E1118B" w:rsidRDefault="00324367" w:rsidP="002B689D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324367" w:rsidP="002B689D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324367" w:rsidRPr="00C709E5" w:rsidRDefault="00324367" w:rsidP="002B6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24367" w:rsidRPr="002438B1" w:rsidRDefault="00324367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24367" w:rsidRPr="00C709E5" w:rsidRDefault="00324367" w:rsidP="002B68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367" w:rsidRDefault="00324367" w:rsidP="00324367"/>
    <w:p w:rsidR="00324367" w:rsidRPr="00740203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324367" w:rsidRDefault="00324367" w:rsidP="00324367"/>
    <w:p w:rsidR="00324367" w:rsidRDefault="00324367" w:rsidP="00324367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324367">
      <w:pPr>
        <w:ind w:firstLine="708"/>
        <w:jc w:val="both"/>
      </w:pPr>
    </w:p>
    <w:p w:rsidR="00324367" w:rsidRDefault="00324367" w:rsidP="00324367"/>
    <w:p w:rsidR="00324367" w:rsidRDefault="00324367" w:rsidP="006B2076"/>
    <w:sectPr w:rsidR="00324367" w:rsidSect="00BE791A">
      <w:pgSz w:w="16834" w:h="11909" w:orient="landscape"/>
      <w:pgMar w:top="1134" w:right="851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1D6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61D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6106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4054"/>
    <w:rsid w:val="00755129"/>
    <w:rsid w:val="00757FBD"/>
    <w:rsid w:val="0076008B"/>
    <w:rsid w:val="00761658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3532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91A"/>
    <w:rsid w:val="00BE7C83"/>
    <w:rsid w:val="00BF076E"/>
    <w:rsid w:val="00BF0DBE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1732F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3D7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24194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9D36-D2FB-49BF-B360-24AE375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25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50</cp:revision>
  <cp:lastPrinted>2017-12-19T04:17:00Z</cp:lastPrinted>
  <dcterms:created xsi:type="dcterms:W3CDTF">2016-03-17T07:54:00Z</dcterms:created>
  <dcterms:modified xsi:type="dcterms:W3CDTF">2017-12-19T04:29:00Z</dcterms:modified>
</cp:coreProperties>
</file>